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831EA" w14:textId="77777777" w:rsidR="00317247" w:rsidRPr="009A41F7" w:rsidRDefault="00317247" w:rsidP="00DB1DFE">
      <w:pPr>
        <w:spacing w:after="120" w:line="240" w:lineRule="auto"/>
        <w:jc w:val="center"/>
        <w:rPr>
          <w:rFonts w:eastAsia="Times New Roman" w:cstheme="minorHAnsi"/>
          <w:b/>
          <w:bCs/>
          <w:color w:val="333333"/>
          <w:sz w:val="24"/>
          <w:szCs w:val="24"/>
          <w:u w:val="single"/>
        </w:rPr>
      </w:pPr>
      <w:r w:rsidRPr="009A41F7">
        <w:rPr>
          <w:rFonts w:eastAsia="Times New Roman" w:cstheme="minorHAnsi"/>
          <w:b/>
          <w:bCs/>
          <w:color w:val="333333"/>
          <w:sz w:val="24"/>
          <w:szCs w:val="24"/>
          <w:u w:val="single"/>
        </w:rPr>
        <w:t>Equipment Inventory Policy and Procedures</w:t>
      </w:r>
    </w:p>
    <w:p w14:paraId="3BEF8AE4" w14:textId="05DABE8D" w:rsidR="00D50AC6" w:rsidRDefault="00F240D3" w:rsidP="003D749A">
      <w:pPr>
        <w:shd w:val="clear" w:color="auto" w:fill="FFFFFF"/>
        <w:spacing w:after="120" w:line="240" w:lineRule="auto"/>
        <w:contextualSpacing/>
        <w:rPr>
          <w:rFonts w:eastAsia="Times New Roman" w:cstheme="minorHAnsi"/>
          <w:color w:val="333333"/>
        </w:rPr>
      </w:pPr>
      <w:r>
        <w:rPr>
          <w:rFonts w:eastAsia="Times New Roman" w:cstheme="minorHAnsi"/>
          <w:color w:val="333333"/>
        </w:rPr>
        <w:t>O</w:t>
      </w:r>
      <w:r w:rsidR="00317247" w:rsidRPr="00207234">
        <w:rPr>
          <w:rFonts w:eastAsia="Times New Roman" w:cstheme="minorHAnsi"/>
          <w:color w:val="333333"/>
        </w:rPr>
        <w:t>wnership of all Nevada System of Higher Education (NSHE) property is vested in the Board of Regents of the NSHE</w:t>
      </w:r>
      <w:r w:rsidR="009C6DEA" w:rsidRPr="00207234">
        <w:rPr>
          <w:rFonts w:eastAsia="Times New Roman" w:cstheme="minorHAnsi"/>
          <w:color w:val="333333"/>
        </w:rPr>
        <w:t>, regardless of funding source.</w:t>
      </w:r>
      <w:r>
        <w:rPr>
          <w:rFonts w:eastAsia="Times New Roman" w:cstheme="minorHAnsi"/>
          <w:color w:val="333333"/>
        </w:rPr>
        <w:t xml:space="preserve">  </w:t>
      </w:r>
      <w:r w:rsidRPr="00F240D3">
        <w:rPr>
          <w:rFonts w:eastAsia="Times New Roman" w:cstheme="minorHAnsi"/>
          <w:color w:val="333333"/>
        </w:rPr>
        <w:t xml:space="preserve"> </w:t>
      </w:r>
      <w:r>
        <w:rPr>
          <w:rFonts w:eastAsia="Times New Roman" w:cstheme="minorHAnsi"/>
          <w:color w:val="333333"/>
        </w:rPr>
        <w:t xml:space="preserve">Asset </w:t>
      </w:r>
      <w:bookmarkStart w:id="0" w:name="_Hlk38468644"/>
      <w:r>
        <w:rPr>
          <w:rFonts w:eastAsia="Times New Roman" w:cstheme="minorHAnsi"/>
          <w:color w:val="333333"/>
        </w:rPr>
        <w:t xml:space="preserve">Management </w:t>
      </w:r>
      <w:r w:rsidR="00A61246">
        <w:rPr>
          <w:rFonts w:eastAsia="Times New Roman" w:cstheme="minorHAnsi"/>
          <w:color w:val="333333"/>
        </w:rPr>
        <w:t xml:space="preserve">is a </w:t>
      </w:r>
      <w:r>
        <w:rPr>
          <w:rFonts w:eastAsia="Times New Roman" w:cstheme="minorHAnsi"/>
          <w:color w:val="333333"/>
        </w:rPr>
        <w:t xml:space="preserve">unit within Business Center North (BCN) Purchasing </w:t>
      </w:r>
      <w:r w:rsidR="00A61246">
        <w:rPr>
          <w:rFonts w:eastAsia="Times New Roman" w:cstheme="minorHAnsi"/>
          <w:color w:val="333333"/>
        </w:rPr>
        <w:t xml:space="preserve">and </w:t>
      </w:r>
      <w:r w:rsidRPr="00F240D3">
        <w:rPr>
          <w:rFonts w:eastAsia="Times New Roman" w:cstheme="minorHAnsi"/>
          <w:color w:val="333333"/>
        </w:rPr>
        <w:t xml:space="preserve">has </w:t>
      </w:r>
      <w:r>
        <w:rPr>
          <w:rFonts w:eastAsia="Times New Roman" w:cstheme="minorHAnsi"/>
          <w:color w:val="333333"/>
        </w:rPr>
        <w:t xml:space="preserve">responsibility for </w:t>
      </w:r>
      <w:r w:rsidRPr="00F240D3">
        <w:rPr>
          <w:rFonts w:eastAsia="Times New Roman" w:cstheme="minorHAnsi"/>
          <w:color w:val="333333"/>
        </w:rPr>
        <w:t xml:space="preserve">the </w:t>
      </w:r>
      <w:bookmarkEnd w:id="0"/>
      <w:r w:rsidRPr="00F240D3">
        <w:rPr>
          <w:rFonts w:eastAsia="Times New Roman" w:cstheme="minorHAnsi"/>
          <w:color w:val="333333"/>
        </w:rPr>
        <w:t>proper tagging, reporting, and contro</w:t>
      </w:r>
      <w:r>
        <w:rPr>
          <w:rFonts w:eastAsia="Times New Roman" w:cstheme="minorHAnsi"/>
          <w:color w:val="333333"/>
        </w:rPr>
        <w:t>lling</w:t>
      </w:r>
      <w:r w:rsidRPr="00F240D3">
        <w:rPr>
          <w:rFonts w:eastAsia="Times New Roman" w:cstheme="minorHAnsi"/>
          <w:color w:val="333333"/>
        </w:rPr>
        <w:t xml:space="preserve"> of </w:t>
      </w:r>
      <w:r>
        <w:rPr>
          <w:rFonts w:eastAsia="Times New Roman" w:cstheme="minorHAnsi"/>
          <w:color w:val="333333"/>
        </w:rPr>
        <w:t xml:space="preserve">all equipment in BCN institutions.  Asset Management </w:t>
      </w:r>
      <w:r w:rsidRPr="00F240D3">
        <w:rPr>
          <w:rFonts w:eastAsia="Times New Roman" w:cstheme="minorHAnsi"/>
          <w:color w:val="333333"/>
        </w:rPr>
        <w:t xml:space="preserve">oversees the </w:t>
      </w:r>
      <w:r w:rsidR="00FF00E6">
        <w:rPr>
          <w:rFonts w:eastAsia="Times New Roman" w:cstheme="minorHAnsi"/>
          <w:color w:val="333333"/>
        </w:rPr>
        <w:t xml:space="preserve">AssetWorks </w:t>
      </w:r>
      <w:r w:rsidRPr="00F240D3">
        <w:rPr>
          <w:rFonts w:eastAsia="Times New Roman" w:cstheme="minorHAnsi"/>
          <w:color w:val="333333"/>
        </w:rPr>
        <w:t xml:space="preserve">system, which is the fixed asset system that houses all of </w:t>
      </w:r>
      <w:r w:rsidR="00FF00E6">
        <w:rPr>
          <w:rFonts w:eastAsia="Times New Roman" w:cstheme="minorHAnsi"/>
          <w:color w:val="333333"/>
        </w:rPr>
        <w:t>NSHE</w:t>
      </w:r>
      <w:r w:rsidRPr="00F240D3">
        <w:rPr>
          <w:rFonts w:eastAsia="Times New Roman" w:cstheme="minorHAnsi"/>
          <w:color w:val="333333"/>
        </w:rPr>
        <w:t>'s fixed asset data</w:t>
      </w:r>
      <w:r w:rsidR="005614E8">
        <w:rPr>
          <w:rFonts w:eastAsia="Times New Roman" w:cstheme="minorHAnsi"/>
          <w:color w:val="333333"/>
        </w:rPr>
        <w:t>.</w:t>
      </w:r>
      <w:r w:rsidRPr="00F240D3">
        <w:rPr>
          <w:rFonts w:eastAsia="Times New Roman" w:cstheme="minorHAnsi"/>
          <w:color w:val="333333"/>
        </w:rPr>
        <w:t xml:space="preserve"> </w:t>
      </w:r>
      <w:r w:rsidR="005614E8">
        <w:rPr>
          <w:rFonts w:eastAsia="Times New Roman" w:cstheme="minorHAnsi"/>
          <w:color w:val="333333"/>
        </w:rPr>
        <w:t xml:space="preserve">AssetWorks </w:t>
      </w:r>
      <w:r w:rsidRPr="00F240D3">
        <w:rPr>
          <w:rFonts w:eastAsia="Times New Roman" w:cstheme="minorHAnsi"/>
          <w:color w:val="333333"/>
        </w:rPr>
        <w:t>stores this data as well as calculates</w:t>
      </w:r>
      <w:r w:rsidR="003D749A">
        <w:rPr>
          <w:rFonts w:eastAsia="Times New Roman" w:cstheme="minorHAnsi"/>
          <w:color w:val="333333"/>
        </w:rPr>
        <w:t xml:space="preserve"> </w:t>
      </w:r>
      <w:r w:rsidRPr="00F240D3">
        <w:rPr>
          <w:rFonts w:eastAsia="Times New Roman" w:cstheme="minorHAnsi"/>
          <w:color w:val="333333"/>
        </w:rPr>
        <w:t xml:space="preserve">and reflects accumulated depreciation expense for the relevant categories of fixed assets. </w:t>
      </w:r>
      <w:r w:rsidR="009C6DEA" w:rsidRPr="00207234">
        <w:rPr>
          <w:rFonts w:eastAsia="Times New Roman" w:cstheme="minorHAnsi"/>
          <w:color w:val="333333"/>
        </w:rPr>
        <w:t xml:space="preserve"> </w:t>
      </w:r>
    </w:p>
    <w:p w14:paraId="52A5ECDB" w14:textId="1EC15792" w:rsidR="00317247" w:rsidRPr="002A2FD7" w:rsidRDefault="00187600" w:rsidP="00BA63CD">
      <w:pPr>
        <w:pStyle w:val="ListParagraph"/>
        <w:numPr>
          <w:ilvl w:val="0"/>
          <w:numId w:val="4"/>
        </w:numPr>
        <w:shd w:val="clear" w:color="auto" w:fill="FFFFFF"/>
        <w:spacing w:after="120" w:line="240" w:lineRule="auto"/>
        <w:ind w:left="360"/>
        <w:rPr>
          <w:rFonts w:eastAsia="Times New Roman" w:cstheme="minorHAnsi"/>
          <w:color w:val="333333"/>
        </w:rPr>
      </w:pPr>
      <w:r w:rsidRPr="00150F09">
        <w:rPr>
          <w:rFonts w:eastAsia="Times New Roman" w:cstheme="minorHAnsi"/>
          <w:i/>
          <w:iCs/>
          <w:color w:val="333333"/>
        </w:rPr>
        <w:t>Definition</w:t>
      </w:r>
      <w:r w:rsidR="00150F09" w:rsidRPr="00150F09">
        <w:rPr>
          <w:rFonts w:eastAsia="Times New Roman" w:cstheme="minorHAnsi"/>
          <w:i/>
          <w:iCs/>
          <w:color w:val="333333"/>
        </w:rPr>
        <w:t>s</w:t>
      </w:r>
      <w:r w:rsidR="00150F09">
        <w:rPr>
          <w:rFonts w:eastAsia="Times New Roman" w:cstheme="minorHAnsi"/>
          <w:color w:val="333333"/>
        </w:rPr>
        <w:t xml:space="preserve">: </w:t>
      </w:r>
      <w:r w:rsidR="00317247" w:rsidRPr="00150F09">
        <w:rPr>
          <w:rFonts w:eastAsia="Times New Roman" w:cstheme="minorHAnsi"/>
          <w:color w:val="333333"/>
        </w:rPr>
        <w:t>Inventoried</w:t>
      </w:r>
      <w:r w:rsidR="00317247" w:rsidRPr="002A2FD7">
        <w:rPr>
          <w:rFonts w:eastAsia="Times New Roman" w:cstheme="minorHAnsi"/>
          <w:color w:val="333333"/>
        </w:rPr>
        <w:t xml:space="preserve"> equipment is defined as all merchandise meeting the following criteria:</w:t>
      </w:r>
    </w:p>
    <w:p w14:paraId="427C6141" w14:textId="77777777" w:rsidR="00317247" w:rsidRPr="00207234" w:rsidRDefault="00317247" w:rsidP="003D749A">
      <w:pPr>
        <w:numPr>
          <w:ilvl w:val="0"/>
          <w:numId w:val="1"/>
        </w:numPr>
        <w:shd w:val="clear" w:color="auto" w:fill="FFFFFF"/>
        <w:spacing w:after="120" w:line="240" w:lineRule="auto"/>
        <w:contextualSpacing/>
        <w:rPr>
          <w:rFonts w:eastAsia="Times New Roman" w:cstheme="minorHAnsi"/>
          <w:color w:val="333333"/>
        </w:rPr>
      </w:pPr>
      <w:r w:rsidRPr="00207234">
        <w:rPr>
          <w:rFonts w:eastAsia="Times New Roman" w:cstheme="minorHAnsi"/>
          <w:color w:val="333333"/>
        </w:rPr>
        <w:t>has a unit cost of $5,000 or more</w:t>
      </w:r>
    </w:p>
    <w:p w14:paraId="38ABD055" w14:textId="77777777" w:rsidR="00317247" w:rsidRPr="00207234" w:rsidRDefault="00317247" w:rsidP="003D749A">
      <w:pPr>
        <w:numPr>
          <w:ilvl w:val="0"/>
          <w:numId w:val="1"/>
        </w:numPr>
        <w:shd w:val="clear" w:color="auto" w:fill="FFFFFF"/>
        <w:spacing w:after="120" w:line="240" w:lineRule="auto"/>
        <w:contextualSpacing/>
        <w:rPr>
          <w:rFonts w:eastAsia="Times New Roman" w:cstheme="minorHAnsi"/>
          <w:color w:val="333333"/>
        </w:rPr>
      </w:pPr>
      <w:r w:rsidRPr="00207234">
        <w:rPr>
          <w:rFonts w:eastAsia="Times New Roman" w:cstheme="minorHAnsi"/>
          <w:color w:val="333333"/>
        </w:rPr>
        <w:t>is complete in itself</w:t>
      </w:r>
    </w:p>
    <w:p w14:paraId="32641EED" w14:textId="77777777" w:rsidR="00317247" w:rsidRPr="00207234" w:rsidRDefault="00317247" w:rsidP="003D749A">
      <w:pPr>
        <w:numPr>
          <w:ilvl w:val="0"/>
          <w:numId w:val="1"/>
        </w:numPr>
        <w:shd w:val="clear" w:color="auto" w:fill="FFFFFF"/>
        <w:spacing w:after="120" w:line="240" w:lineRule="auto"/>
        <w:contextualSpacing/>
        <w:rPr>
          <w:rFonts w:eastAsia="Times New Roman" w:cstheme="minorHAnsi"/>
          <w:color w:val="333333"/>
        </w:rPr>
      </w:pPr>
      <w:r w:rsidRPr="00207234">
        <w:rPr>
          <w:rFonts w:eastAsia="Times New Roman" w:cstheme="minorHAnsi"/>
          <w:color w:val="333333"/>
        </w:rPr>
        <w:t>does not lose its identity even though it may become a component part of another item when placed in use</w:t>
      </w:r>
    </w:p>
    <w:p w14:paraId="46033FF7" w14:textId="77777777" w:rsidR="00317247" w:rsidRPr="00207234" w:rsidRDefault="00317247" w:rsidP="00DB1DFE">
      <w:pPr>
        <w:numPr>
          <w:ilvl w:val="0"/>
          <w:numId w:val="1"/>
        </w:numPr>
        <w:shd w:val="clear" w:color="auto" w:fill="FFFFFF"/>
        <w:spacing w:after="120" w:line="240" w:lineRule="auto"/>
        <w:rPr>
          <w:rFonts w:eastAsia="Times New Roman" w:cstheme="minorHAnsi"/>
          <w:color w:val="333333"/>
        </w:rPr>
      </w:pPr>
      <w:r w:rsidRPr="00207234">
        <w:rPr>
          <w:rFonts w:eastAsia="Times New Roman" w:cstheme="minorHAnsi"/>
          <w:color w:val="333333"/>
        </w:rPr>
        <w:t>is of a non-expendable, non-repairable, durable nature with a life expectancy of one year or more</w:t>
      </w:r>
    </w:p>
    <w:p w14:paraId="05B9C6B8" w14:textId="77777777" w:rsidR="00D50AC6" w:rsidRDefault="00D50AC6" w:rsidP="003D749A">
      <w:pPr>
        <w:shd w:val="clear" w:color="auto" w:fill="FFFFFF"/>
        <w:spacing w:after="120" w:line="240" w:lineRule="auto"/>
        <w:ind w:firstLine="360"/>
        <w:contextualSpacing/>
        <w:rPr>
          <w:rFonts w:eastAsia="Times New Roman" w:cstheme="minorHAnsi"/>
          <w:color w:val="333333"/>
        </w:rPr>
      </w:pPr>
      <w:r>
        <w:rPr>
          <w:rFonts w:eastAsia="Times New Roman" w:cstheme="minorHAnsi"/>
          <w:color w:val="333333"/>
        </w:rPr>
        <w:t xml:space="preserve">This </w:t>
      </w:r>
      <w:r w:rsidRPr="00C35C8F">
        <w:rPr>
          <w:rFonts w:eastAsia="Times New Roman" w:cstheme="minorHAnsi"/>
          <w:color w:val="333333"/>
        </w:rPr>
        <w:t>includes, regardless of cost:</w:t>
      </w:r>
    </w:p>
    <w:p w14:paraId="4309281B" w14:textId="77777777" w:rsidR="00DA184D" w:rsidRDefault="00DA184D" w:rsidP="003D749A">
      <w:pPr>
        <w:pStyle w:val="ListParagraph"/>
        <w:numPr>
          <w:ilvl w:val="0"/>
          <w:numId w:val="3"/>
        </w:numPr>
        <w:shd w:val="clear" w:color="auto" w:fill="FFFFFF"/>
        <w:spacing w:after="120" w:line="240" w:lineRule="auto"/>
        <w:rPr>
          <w:rFonts w:eastAsia="Times New Roman" w:cstheme="minorHAnsi"/>
          <w:color w:val="333333"/>
        </w:rPr>
      </w:pPr>
      <w:r w:rsidRPr="00D50AC6">
        <w:rPr>
          <w:rFonts w:eastAsia="Times New Roman" w:cstheme="minorHAnsi"/>
          <w:color w:val="333333"/>
        </w:rPr>
        <w:t>All vehicles</w:t>
      </w:r>
      <w:r>
        <w:rPr>
          <w:rFonts w:eastAsia="Times New Roman" w:cstheme="minorHAnsi"/>
          <w:color w:val="333333"/>
        </w:rPr>
        <w:t xml:space="preserve"> and trailers</w:t>
      </w:r>
      <w:r w:rsidRPr="00D50AC6">
        <w:rPr>
          <w:rFonts w:eastAsia="Times New Roman" w:cstheme="minorHAnsi"/>
          <w:color w:val="333333"/>
        </w:rPr>
        <w:t xml:space="preserve"> </w:t>
      </w:r>
      <w:r>
        <w:rPr>
          <w:rFonts w:eastAsia="Times New Roman" w:cstheme="minorHAnsi"/>
          <w:color w:val="333333"/>
        </w:rPr>
        <w:t>(</w:t>
      </w:r>
      <w:r w:rsidRPr="00D50AC6">
        <w:rPr>
          <w:rFonts w:eastAsia="Times New Roman" w:cstheme="minorHAnsi"/>
          <w:color w:val="333333"/>
        </w:rPr>
        <w:t>for DMV purposes</w:t>
      </w:r>
      <w:r>
        <w:rPr>
          <w:rFonts w:eastAsia="Times New Roman" w:cstheme="minorHAnsi"/>
          <w:color w:val="333333"/>
        </w:rPr>
        <w:t>)*</w:t>
      </w:r>
      <w:r w:rsidRPr="00D50AC6">
        <w:rPr>
          <w:rFonts w:eastAsia="Times New Roman" w:cstheme="minorHAnsi"/>
          <w:color w:val="333333"/>
        </w:rPr>
        <w:t xml:space="preserve">  </w:t>
      </w:r>
    </w:p>
    <w:p w14:paraId="5154748A" w14:textId="13133E21" w:rsidR="00D50AC6" w:rsidRPr="00C35C8F" w:rsidRDefault="00D50AC6" w:rsidP="003D749A">
      <w:pPr>
        <w:pStyle w:val="ListParagraph"/>
        <w:numPr>
          <w:ilvl w:val="0"/>
          <w:numId w:val="3"/>
        </w:numPr>
        <w:shd w:val="clear" w:color="auto" w:fill="FFFFFF"/>
        <w:spacing w:after="120" w:line="240" w:lineRule="auto"/>
        <w:rPr>
          <w:rFonts w:eastAsia="Times New Roman" w:cstheme="minorHAnsi"/>
          <w:color w:val="333333"/>
        </w:rPr>
      </w:pPr>
      <w:r w:rsidRPr="00C35C8F">
        <w:rPr>
          <w:rFonts w:eastAsia="Times New Roman" w:cstheme="minorHAnsi"/>
          <w:color w:val="333333"/>
        </w:rPr>
        <w:t>F</w:t>
      </w:r>
      <w:r w:rsidR="00317247" w:rsidRPr="00C35C8F">
        <w:rPr>
          <w:rFonts w:eastAsia="Times New Roman" w:cstheme="minorHAnsi"/>
          <w:color w:val="333333"/>
        </w:rPr>
        <w:t xml:space="preserve">irearms of all types (i.e., revolvers, </w:t>
      </w:r>
      <w:r w:rsidRPr="00C35C8F">
        <w:rPr>
          <w:rFonts w:eastAsia="Times New Roman" w:cstheme="minorHAnsi"/>
          <w:color w:val="333333"/>
        </w:rPr>
        <w:t>shotguns, rifles, starter guns)</w:t>
      </w:r>
      <w:r w:rsidR="00BE6B34">
        <w:rPr>
          <w:rFonts w:eastAsia="Times New Roman" w:cstheme="minorHAnsi"/>
          <w:color w:val="333333"/>
        </w:rPr>
        <w:t xml:space="preserve"> **</w:t>
      </w:r>
    </w:p>
    <w:p w14:paraId="3007BF14" w14:textId="2C199334" w:rsidR="00D50AC6" w:rsidRDefault="00D50AC6" w:rsidP="003D749A">
      <w:pPr>
        <w:pStyle w:val="ListParagraph"/>
        <w:numPr>
          <w:ilvl w:val="0"/>
          <w:numId w:val="3"/>
        </w:numPr>
        <w:shd w:val="clear" w:color="auto" w:fill="FFFFFF"/>
        <w:spacing w:after="120" w:line="240" w:lineRule="auto"/>
        <w:rPr>
          <w:rFonts w:eastAsia="Times New Roman" w:cstheme="minorHAnsi"/>
          <w:color w:val="333333"/>
        </w:rPr>
      </w:pPr>
      <w:r>
        <w:rPr>
          <w:rFonts w:eastAsia="Times New Roman" w:cstheme="minorHAnsi"/>
          <w:color w:val="333333"/>
        </w:rPr>
        <w:t>Pyrotechnic devices</w:t>
      </w:r>
      <w:r w:rsidR="002F6CCC">
        <w:rPr>
          <w:rFonts w:eastAsia="Times New Roman" w:cstheme="minorHAnsi"/>
          <w:color w:val="333333"/>
        </w:rPr>
        <w:t xml:space="preserve"> **</w:t>
      </w:r>
      <w:r w:rsidR="00C35C8F">
        <w:rPr>
          <w:rFonts w:eastAsia="Times New Roman" w:cstheme="minorHAnsi"/>
          <w:color w:val="333333"/>
        </w:rPr>
        <w:t xml:space="preserve"> </w:t>
      </w:r>
    </w:p>
    <w:p w14:paraId="343A4027" w14:textId="0E9AFBA4" w:rsidR="00D50AC6" w:rsidRDefault="00D50AC6" w:rsidP="003D749A">
      <w:pPr>
        <w:pStyle w:val="ListParagraph"/>
        <w:numPr>
          <w:ilvl w:val="0"/>
          <w:numId w:val="3"/>
        </w:numPr>
        <w:shd w:val="clear" w:color="auto" w:fill="FFFFFF"/>
        <w:spacing w:after="120" w:line="240" w:lineRule="auto"/>
        <w:rPr>
          <w:rFonts w:eastAsia="Times New Roman" w:cstheme="minorHAnsi"/>
          <w:color w:val="333333"/>
        </w:rPr>
      </w:pPr>
      <w:r>
        <w:rPr>
          <w:rFonts w:eastAsia="Times New Roman" w:cstheme="minorHAnsi"/>
          <w:color w:val="333333"/>
        </w:rPr>
        <w:t>S</w:t>
      </w:r>
      <w:r w:rsidR="00317247" w:rsidRPr="00D50AC6">
        <w:rPr>
          <w:rFonts w:eastAsia="Times New Roman" w:cstheme="minorHAnsi"/>
          <w:color w:val="333333"/>
        </w:rPr>
        <w:t>ome components of buildings or facilities that meet the above criteria such as generators, score boards,</w:t>
      </w:r>
      <w:r w:rsidR="00DA184D">
        <w:rPr>
          <w:rFonts w:eastAsia="Times New Roman" w:cstheme="minorHAnsi"/>
          <w:color w:val="333333"/>
        </w:rPr>
        <w:t xml:space="preserve"> fixtures</w:t>
      </w:r>
      <w:r w:rsidR="00A02DB2">
        <w:rPr>
          <w:rFonts w:eastAsia="Times New Roman" w:cstheme="minorHAnsi"/>
          <w:color w:val="333333"/>
        </w:rPr>
        <w:t>,</w:t>
      </w:r>
      <w:r w:rsidR="00E24E4C">
        <w:rPr>
          <w:rFonts w:eastAsia="Times New Roman" w:cstheme="minorHAnsi"/>
          <w:color w:val="333333"/>
        </w:rPr>
        <w:t xml:space="preserve"> etc</w:t>
      </w:r>
      <w:r w:rsidR="00BA63CD">
        <w:rPr>
          <w:rFonts w:eastAsia="Times New Roman" w:cstheme="minorHAnsi"/>
          <w:color w:val="333333"/>
        </w:rPr>
        <w:t>.</w:t>
      </w:r>
      <w:r w:rsidR="00E24E4C">
        <w:rPr>
          <w:rFonts w:eastAsia="Times New Roman" w:cstheme="minorHAnsi"/>
          <w:color w:val="333333"/>
        </w:rPr>
        <w:t>**</w:t>
      </w:r>
      <w:r w:rsidR="002F6CCC">
        <w:rPr>
          <w:rFonts w:eastAsia="Times New Roman" w:cstheme="minorHAnsi"/>
          <w:color w:val="333333"/>
        </w:rPr>
        <w:t>*</w:t>
      </w:r>
      <w:r w:rsidR="00E24E4C">
        <w:rPr>
          <w:rFonts w:eastAsia="Times New Roman" w:cstheme="minorHAnsi"/>
          <w:color w:val="333333"/>
        </w:rPr>
        <w:t xml:space="preserve"> </w:t>
      </w:r>
    </w:p>
    <w:p w14:paraId="39BBE27F" w14:textId="3C22A411" w:rsidR="00D50AC6" w:rsidRDefault="00D50AC6" w:rsidP="003D749A">
      <w:pPr>
        <w:pStyle w:val="ListParagraph"/>
        <w:numPr>
          <w:ilvl w:val="0"/>
          <w:numId w:val="3"/>
        </w:numPr>
        <w:shd w:val="clear" w:color="auto" w:fill="FFFFFF"/>
        <w:spacing w:after="120" w:line="240" w:lineRule="auto"/>
        <w:rPr>
          <w:rFonts w:eastAsia="Times New Roman" w:cstheme="minorHAnsi"/>
          <w:color w:val="333333"/>
        </w:rPr>
      </w:pPr>
      <w:r>
        <w:rPr>
          <w:rFonts w:eastAsia="Times New Roman" w:cstheme="minorHAnsi"/>
          <w:color w:val="333333"/>
        </w:rPr>
        <w:t>A</w:t>
      </w:r>
      <w:r w:rsidR="009C6DEA" w:rsidRPr="00D50AC6">
        <w:rPr>
          <w:rFonts w:eastAsia="Times New Roman" w:cstheme="minorHAnsi"/>
          <w:color w:val="333333"/>
        </w:rPr>
        <w:t xml:space="preserve">ll computers (desktops, servers, laptops, </w:t>
      </w:r>
      <w:r w:rsidR="001613F3">
        <w:rPr>
          <w:rFonts w:eastAsia="Times New Roman" w:cstheme="minorHAnsi"/>
          <w:color w:val="333333"/>
        </w:rPr>
        <w:t>tablets</w:t>
      </w:r>
      <w:r w:rsidR="009C6DEA" w:rsidRPr="00D50AC6">
        <w:rPr>
          <w:rFonts w:eastAsia="Times New Roman" w:cstheme="minorHAnsi"/>
          <w:color w:val="333333"/>
        </w:rPr>
        <w:t xml:space="preserve">) </w:t>
      </w:r>
      <w:r w:rsidR="002F6CCC">
        <w:rPr>
          <w:rFonts w:eastAsia="Times New Roman" w:cstheme="minorHAnsi"/>
          <w:color w:val="333333"/>
        </w:rPr>
        <w:t>**</w:t>
      </w:r>
    </w:p>
    <w:p w14:paraId="6A7F15F1" w14:textId="51230852" w:rsidR="00BE5B24" w:rsidRDefault="007B35C9" w:rsidP="007B35C9">
      <w:pPr>
        <w:shd w:val="clear" w:color="auto" w:fill="FFFFFF"/>
        <w:spacing w:after="120" w:line="240" w:lineRule="auto"/>
        <w:ind w:left="720"/>
        <w:contextualSpacing/>
        <w:rPr>
          <w:rFonts w:eastAsia="Times New Roman" w:cstheme="minorHAnsi"/>
          <w:color w:val="333333"/>
        </w:rPr>
      </w:pPr>
      <w:r w:rsidRPr="007B35C9">
        <w:rPr>
          <w:rFonts w:eastAsia="Times New Roman" w:cstheme="minorHAnsi"/>
          <w:color w:val="333333"/>
        </w:rPr>
        <w:t>*</w:t>
      </w:r>
      <w:r w:rsidR="00BE5B24">
        <w:rPr>
          <w:rFonts w:eastAsia="Times New Roman" w:cstheme="minorHAnsi"/>
          <w:color w:val="333333"/>
        </w:rPr>
        <w:t xml:space="preserve">     </w:t>
      </w:r>
      <w:r w:rsidRPr="007B35C9">
        <w:rPr>
          <w:rFonts w:eastAsia="Times New Roman" w:cstheme="minorHAnsi"/>
          <w:color w:val="333333"/>
        </w:rPr>
        <w:t>Use institutionally designated Worktag</w:t>
      </w:r>
      <w:r w:rsidR="00BE5B24">
        <w:rPr>
          <w:rFonts w:eastAsia="Times New Roman" w:cstheme="minorHAnsi"/>
          <w:color w:val="333333"/>
        </w:rPr>
        <w:t xml:space="preserve"> </w:t>
      </w:r>
    </w:p>
    <w:p w14:paraId="77ED032A" w14:textId="2F9294BA" w:rsidR="00D50AC6" w:rsidRDefault="00BE5B24" w:rsidP="007B35C9">
      <w:pPr>
        <w:shd w:val="clear" w:color="auto" w:fill="FFFFFF"/>
        <w:spacing w:after="120" w:line="240" w:lineRule="auto"/>
        <w:ind w:left="720"/>
        <w:contextualSpacing/>
        <w:rPr>
          <w:rFonts w:eastAsia="Times New Roman" w:cstheme="minorHAnsi"/>
          <w:color w:val="333333"/>
        </w:rPr>
      </w:pPr>
      <w:r>
        <w:rPr>
          <w:rFonts w:eastAsia="Times New Roman" w:cstheme="minorHAnsi"/>
          <w:color w:val="333333"/>
        </w:rPr>
        <w:t xml:space="preserve">**  </w:t>
      </w:r>
      <w:r w:rsidR="00773466">
        <w:rPr>
          <w:rFonts w:eastAsia="Times New Roman" w:cstheme="minorHAnsi"/>
          <w:color w:val="333333"/>
        </w:rPr>
        <w:t xml:space="preserve"> </w:t>
      </w:r>
      <w:r w:rsidR="00B27796">
        <w:rPr>
          <w:rFonts w:eastAsia="Times New Roman" w:cstheme="minorHAnsi"/>
          <w:color w:val="333333"/>
        </w:rPr>
        <w:t xml:space="preserve">Use </w:t>
      </w:r>
      <w:r w:rsidR="00D50AC6" w:rsidRPr="00D50AC6">
        <w:rPr>
          <w:rFonts w:eastAsia="Times New Roman" w:cstheme="minorHAnsi"/>
          <w:color w:val="333333"/>
        </w:rPr>
        <w:t xml:space="preserve">the </w:t>
      </w:r>
      <w:r w:rsidR="00B27796">
        <w:rPr>
          <w:rFonts w:eastAsia="Times New Roman" w:cstheme="minorHAnsi"/>
          <w:color w:val="333333"/>
        </w:rPr>
        <w:t xml:space="preserve">Board-mandated </w:t>
      </w:r>
      <w:r w:rsidR="00D50AC6" w:rsidRPr="00D50AC6">
        <w:rPr>
          <w:rFonts w:eastAsia="Times New Roman" w:cstheme="minorHAnsi"/>
          <w:color w:val="333333"/>
        </w:rPr>
        <w:t>track</w:t>
      </w:r>
      <w:r w:rsidR="00B27796">
        <w:rPr>
          <w:rFonts w:eastAsia="Times New Roman" w:cstheme="minorHAnsi"/>
          <w:color w:val="333333"/>
        </w:rPr>
        <w:t>-</w:t>
      </w:r>
      <w:r w:rsidR="00D50AC6" w:rsidRPr="00D50AC6">
        <w:rPr>
          <w:rFonts w:eastAsia="Times New Roman" w:cstheme="minorHAnsi"/>
          <w:color w:val="333333"/>
        </w:rPr>
        <w:t>sensitive</w:t>
      </w:r>
      <w:r w:rsidR="00B27796">
        <w:rPr>
          <w:rFonts w:eastAsia="Times New Roman" w:cstheme="minorHAnsi"/>
          <w:color w:val="333333"/>
        </w:rPr>
        <w:t>-</w:t>
      </w:r>
      <w:r w:rsidR="00D50AC6" w:rsidRPr="00D50AC6">
        <w:rPr>
          <w:rFonts w:eastAsia="Times New Roman" w:cstheme="minorHAnsi"/>
          <w:color w:val="333333"/>
        </w:rPr>
        <w:t xml:space="preserve">equipment </w:t>
      </w:r>
      <w:r w:rsidR="00BA63CD" w:rsidRPr="00D50AC6">
        <w:rPr>
          <w:rFonts w:eastAsia="Times New Roman" w:cstheme="minorHAnsi"/>
          <w:color w:val="333333"/>
        </w:rPr>
        <w:t>Worktag</w:t>
      </w:r>
      <w:r w:rsidR="00E24E4C">
        <w:rPr>
          <w:rFonts w:eastAsia="Times New Roman" w:cstheme="minorHAnsi"/>
          <w:color w:val="333333"/>
        </w:rPr>
        <w:t xml:space="preserve">. </w:t>
      </w:r>
    </w:p>
    <w:p w14:paraId="765B4AB0" w14:textId="425E1D30" w:rsidR="00E24E4C" w:rsidRDefault="00E24E4C" w:rsidP="007B35C9">
      <w:pPr>
        <w:shd w:val="clear" w:color="auto" w:fill="FFFFFF"/>
        <w:spacing w:after="120" w:line="240" w:lineRule="auto"/>
        <w:ind w:left="360" w:firstLine="360"/>
        <w:contextualSpacing/>
        <w:rPr>
          <w:rFonts w:eastAsia="Times New Roman" w:cstheme="minorHAnsi"/>
          <w:color w:val="333333"/>
        </w:rPr>
      </w:pPr>
      <w:r>
        <w:rPr>
          <w:rFonts w:eastAsia="Times New Roman" w:cstheme="minorHAnsi"/>
          <w:color w:val="333333"/>
        </w:rPr>
        <w:t>**</w:t>
      </w:r>
      <w:r w:rsidR="00773466">
        <w:rPr>
          <w:rFonts w:eastAsia="Times New Roman" w:cstheme="minorHAnsi"/>
          <w:color w:val="333333"/>
        </w:rPr>
        <w:t xml:space="preserve">* </w:t>
      </w:r>
      <w:r>
        <w:rPr>
          <w:rFonts w:eastAsia="Times New Roman" w:cstheme="minorHAnsi"/>
          <w:color w:val="333333"/>
        </w:rPr>
        <w:t xml:space="preserve">No </w:t>
      </w:r>
      <w:r w:rsidR="00DA184D">
        <w:rPr>
          <w:rFonts w:eastAsia="Times New Roman" w:cstheme="minorHAnsi"/>
          <w:color w:val="333333"/>
        </w:rPr>
        <w:t xml:space="preserve">additional </w:t>
      </w:r>
      <w:r w:rsidR="00BA63CD">
        <w:rPr>
          <w:rFonts w:eastAsia="Times New Roman" w:cstheme="minorHAnsi"/>
          <w:color w:val="333333"/>
        </w:rPr>
        <w:t>Worktag</w:t>
      </w:r>
      <w:r>
        <w:rPr>
          <w:rFonts w:eastAsia="Times New Roman" w:cstheme="minorHAnsi"/>
          <w:color w:val="333333"/>
        </w:rPr>
        <w:t xml:space="preserve"> needed</w:t>
      </w:r>
    </w:p>
    <w:p w14:paraId="7ADCACBF" w14:textId="2F143AA4" w:rsidR="00824B4A" w:rsidRPr="000E4491" w:rsidRDefault="00824B4A" w:rsidP="00DB1DFE">
      <w:pPr>
        <w:pStyle w:val="ListParagraph"/>
        <w:numPr>
          <w:ilvl w:val="0"/>
          <w:numId w:val="4"/>
        </w:numPr>
        <w:shd w:val="clear" w:color="auto" w:fill="FFFFFF"/>
        <w:spacing w:after="120" w:line="240" w:lineRule="auto"/>
        <w:ind w:left="360"/>
        <w:contextualSpacing w:val="0"/>
        <w:rPr>
          <w:rFonts w:eastAsia="Times New Roman" w:cstheme="minorHAnsi"/>
          <w:color w:val="333333"/>
        </w:rPr>
      </w:pPr>
      <w:r w:rsidRPr="00302002">
        <w:rPr>
          <w:rFonts w:eastAsia="Times New Roman" w:cstheme="minorHAnsi"/>
          <w:i/>
          <w:color w:val="333333"/>
        </w:rPr>
        <w:t>Sensitive Equipment List</w:t>
      </w:r>
      <w:r w:rsidR="00302002">
        <w:rPr>
          <w:rFonts w:eastAsia="Times New Roman" w:cstheme="minorHAnsi"/>
          <w:i/>
          <w:color w:val="333333"/>
        </w:rPr>
        <w:t>s</w:t>
      </w:r>
      <w:r w:rsidR="00EF3E32" w:rsidRPr="000E4491">
        <w:rPr>
          <w:rFonts w:eastAsia="Times New Roman" w:cstheme="minorHAnsi"/>
          <w:iCs/>
          <w:color w:val="333333"/>
        </w:rPr>
        <w:t xml:space="preserve">: </w:t>
      </w:r>
      <w:r w:rsidRPr="000E4491">
        <w:rPr>
          <w:rFonts w:eastAsia="Times New Roman" w:cstheme="minorHAnsi"/>
          <w:color w:val="333333"/>
        </w:rPr>
        <w:t>All departments must keep a separate spreadsheet if any of the following apply:</w:t>
      </w:r>
      <w:r w:rsidR="00EF3E32" w:rsidRPr="000E4491">
        <w:rPr>
          <w:rFonts w:eastAsia="Times New Roman" w:cstheme="minorHAnsi"/>
          <w:color w:val="333333"/>
        </w:rPr>
        <w:t xml:space="preserve"> </w:t>
      </w:r>
    </w:p>
    <w:p w14:paraId="7EDC2135" w14:textId="39EC5FC4" w:rsidR="00824B4A" w:rsidRDefault="00DB1DFE" w:rsidP="000E4491">
      <w:pPr>
        <w:pStyle w:val="ListParagraph"/>
        <w:numPr>
          <w:ilvl w:val="0"/>
          <w:numId w:val="8"/>
        </w:numPr>
        <w:shd w:val="clear" w:color="auto" w:fill="FFFFFF"/>
        <w:spacing w:after="120" w:line="240" w:lineRule="auto"/>
        <w:ind w:left="720"/>
        <w:rPr>
          <w:rFonts w:eastAsia="Times New Roman" w:cstheme="minorHAnsi"/>
          <w:color w:val="333333"/>
        </w:rPr>
      </w:pPr>
      <w:r>
        <w:rPr>
          <w:rFonts w:eastAsia="Times New Roman" w:cstheme="minorHAnsi"/>
          <w:color w:val="333333"/>
        </w:rPr>
        <w:t>The</w:t>
      </w:r>
      <w:r w:rsidR="00824B4A">
        <w:rPr>
          <w:rFonts w:eastAsia="Times New Roman" w:cstheme="minorHAnsi"/>
          <w:color w:val="333333"/>
        </w:rPr>
        <w:t xml:space="preserve"> department has computers (desktops, servers, laptops, </w:t>
      </w:r>
      <w:r w:rsidR="00CB79CC">
        <w:rPr>
          <w:rFonts w:eastAsia="Times New Roman" w:cstheme="minorHAnsi"/>
          <w:color w:val="333333"/>
        </w:rPr>
        <w:t xml:space="preserve">or </w:t>
      </w:r>
      <w:r w:rsidR="001613F3">
        <w:rPr>
          <w:rFonts w:eastAsia="Times New Roman" w:cstheme="minorHAnsi"/>
          <w:color w:val="333333"/>
        </w:rPr>
        <w:t>tablets</w:t>
      </w:r>
      <w:r w:rsidR="00CB79CC">
        <w:rPr>
          <w:rFonts w:eastAsia="Times New Roman" w:cstheme="minorHAnsi"/>
          <w:color w:val="333333"/>
        </w:rPr>
        <w:t>)</w:t>
      </w:r>
      <w:r w:rsidR="00824B4A">
        <w:rPr>
          <w:rFonts w:eastAsia="Times New Roman" w:cstheme="minorHAnsi"/>
          <w:color w:val="333333"/>
        </w:rPr>
        <w:t xml:space="preserve"> </w:t>
      </w:r>
      <w:r w:rsidR="000E4491">
        <w:rPr>
          <w:rFonts w:eastAsia="Times New Roman" w:cstheme="minorHAnsi"/>
          <w:color w:val="333333"/>
        </w:rPr>
        <w:t xml:space="preserve">that were </w:t>
      </w:r>
      <w:r w:rsidR="00824B4A">
        <w:rPr>
          <w:rFonts w:eastAsia="Times New Roman" w:cstheme="minorHAnsi"/>
          <w:color w:val="333333"/>
        </w:rPr>
        <w:t>purchased prior to Workday</w:t>
      </w:r>
      <w:r w:rsidR="00AB3DD0">
        <w:rPr>
          <w:rFonts w:eastAsia="Times New Roman" w:cstheme="minorHAnsi"/>
          <w:color w:val="333333"/>
        </w:rPr>
        <w:t>, and therefore are not recorded</w:t>
      </w:r>
      <w:r w:rsidR="00CB79CC">
        <w:rPr>
          <w:rFonts w:eastAsia="Times New Roman" w:cstheme="minorHAnsi"/>
          <w:color w:val="333333"/>
        </w:rPr>
        <w:t xml:space="preserve"> in the NSHE </w:t>
      </w:r>
      <w:r w:rsidR="00EB00C9">
        <w:rPr>
          <w:rFonts w:eastAsia="Times New Roman" w:cstheme="minorHAnsi"/>
          <w:color w:val="333333"/>
        </w:rPr>
        <w:t>system</w:t>
      </w:r>
      <w:r w:rsidR="00055C16">
        <w:rPr>
          <w:rFonts w:eastAsia="Times New Roman" w:cstheme="minorHAnsi"/>
          <w:color w:val="333333"/>
        </w:rPr>
        <w:t xml:space="preserve">. </w:t>
      </w:r>
    </w:p>
    <w:p w14:paraId="5DF2D7FA" w14:textId="75AA85EC" w:rsidR="00824B4A" w:rsidRPr="00824B4A" w:rsidRDefault="009724B4" w:rsidP="00EB00C9">
      <w:pPr>
        <w:pStyle w:val="ListParagraph"/>
        <w:numPr>
          <w:ilvl w:val="0"/>
          <w:numId w:val="8"/>
        </w:numPr>
        <w:shd w:val="clear" w:color="auto" w:fill="FFFFFF"/>
        <w:spacing w:after="120" w:line="240" w:lineRule="auto"/>
        <w:ind w:left="720"/>
        <w:contextualSpacing w:val="0"/>
        <w:rPr>
          <w:rFonts w:eastAsia="Times New Roman" w:cstheme="minorHAnsi"/>
          <w:color w:val="333333"/>
        </w:rPr>
      </w:pPr>
      <w:r>
        <w:rPr>
          <w:rFonts w:eastAsia="Times New Roman" w:cstheme="minorHAnsi"/>
          <w:color w:val="333333"/>
        </w:rPr>
        <w:t>The</w:t>
      </w:r>
      <w:r w:rsidR="00796AD5">
        <w:rPr>
          <w:rFonts w:eastAsia="Times New Roman" w:cstheme="minorHAnsi"/>
          <w:color w:val="333333"/>
        </w:rPr>
        <w:t xml:space="preserve"> department </w:t>
      </w:r>
      <w:r w:rsidR="00CF48F2">
        <w:rPr>
          <w:rFonts w:eastAsia="Times New Roman" w:cstheme="minorHAnsi"/>
          <w:color w:val="333333"/>
        </w:rPr>
        <w:t>has</w:t>
      </w:r>
      <w:r w:rsidR="00055C16">
        <w:rPr>
          <w:rFonts w:eastAsia="Times New Roman" w:cstheme="minorHAnsi"/>
          <w:color w:val="333333"/>
        </w:rPr>
        <w:t xml:space="preserve"> equipment that </w:t>
      </w:r>
      <w:r w:rsidR="00CF48F2">
        <w:rPr>
          <w:rFonts w:eastAsia="Times New Roman" w:cstheme="minorHAnsi"/>
          <w:color w:val="333333"/>
        </w:rPr>
        <w:t xml:space="preserve">is </w:t>
      </w:r>
      <w:r w:rsidR="00824B4A">
        <w:rPr>
          <w:rFonts w:eastAsia="Times New Roman" w:cstheme="minorHAnsi"/>
          <w:color w:val="333333"/>
        </w:rPr>
        <w:t xml:space="preserve">leased or loaned equipment to </w:t>
      </w:r>
      <w:r w:rsidR="00D061CB">
        <w:rPr>
          <w:rFonts w:eastAsia="Times New Roman" w:cstheme="minorHAnsi"/>
          <w:color w:val="333333"/>
        </w:rPr>
        <w:t xml:space="preserve">the Institution and </w:t>
      </w:r>
      <w:r w:rsidR="00824B4A">
        <w:rPr>
          <w:rFonts w:eastAsia="Times New Roman" w:cstheme="minorHAnsi"/>
          <w:color w:val="333333"/>
        </w:rPr>
        <w:t>is not recorded in AssetWorks.</w:t>
      </w:r>
      <w:r w:rsidR="00562E24">
        <w:rPr>
          <w:rFonts w:eastAsia="Times New Roman" w:cstheme="minorHAnsi"/>
          <w:color w:val="333333"/>
        </w:rPr>
        <w:t xml:space="preserve"> (</w:t>
      </w:r>
      <w:r w:rsidR="00F77A8A">
        <w:rPr>
          <w:rFonts w:eastAsia="Times New Roman" w:cstheme="minorHAnsi"/>
          <w:color w:val="333333"/>
        </w:rPr>
        <w:t xml:space="preserve">See </w:t>
      </w:r>
      <w:r w:rsidR="00F77A8A" w:rsidRPr="00F77A8A">
        <w:rPr>
          <w:rFonts w:eastAsia="Times New Roman" w:cstheme="minorHAnsi"/>
          <w:i/>
          <w:iCs/>
          <w:color w:val="333333"/>
        </w:rPr>
        <w:t>Leased-Rented Equipment</w:t>
      </w:r>
      <w:r w:rsidR="00F77A8A">
        <w:rPr>
          <w:rFonts w:eastAsia="Times New Roman" w:cstheme="minorHAnsi"/>
          <w:color w:val="333333"/>
        </w:rPr>
        <w:t xml:space="preserve"> below.) </w:t>
      </w:r>
    </w:p>
    <w:p w14:paraId="35B3F2A1" w14:textId="7941FB5A" w:rsidR="00C76242" w:rsidRPr="00C95341" w:rsidRDefault="00D50AC6" w:rsidP="00005B4A">
      <w:pPr>
        <w:pStyle w:val="ListParagraph"/>
        <w:numPr>
          <w:ilvl w:val="0"/>
          <w:numId w:val="4"/>
        </w:numPr>
        <w:shd w:val="clear" w:color="auto" w:fill="FFFFFF"/>
        <w:spacing w:after="120" w:line="240" w:lineRule="auto"/>
        <w:ind w:left="360"/>
        <w:contextualSpacing w:val="0"/>
        <w:rPr>
          <w:rFonts w:eastAsia="Times New Roman" w:cstheme="minorHAnsi"/>
          <w:color w:val="333333"/>
        </w:rPr>
      </w:pPr>
      <w:r w:rsidRPr="00C95341">
        <w:rPr>
          <w:rFonts w:eastAsia="Times New Roman" w:cstheme="minorHAnsi"/>
          <w:i/>
          <w:color w:val="333333"/>
        </w:rPr>
        <w:t>Payment</w:t>
      </w:r>
      <w:r w:rsidR="00D35803">
        <w:rPr>
          <w:rFonts w:eastAsia="Times New Roman" w:cstheme="minorHAnsi"/>
          <w:i/>
          <w:color w:val="333333"/>
        </w:rPr>
        <w:t xml:space="preserve"> and</w:t>
      </w:r>
      <w:r w:rsidRPr="00C95341">
        <w:rPr>
          <w:rFonts w:eastAsia="Times New Roman" w:cstheme="minorHAnsi"/>
          <w:i/>
          <w:color w:val="333333"/>
        </w:rPr>
        <w:t>/</w:t>
      </w:r>
      <w:r w:rsidR="00005B4A">
        <w:rPr>
          <w:rFonts w:eastAsia="Times New Roman" w:cstheme="minorHAnsi"/>
          <w:i/>
          <w:color w:val="333333"/>
        </w:rPr>
        <w:t xml:space="preserve">or </w:t>
      </w:r>
      <w:r w:rsidRPr="00C95341">
        <w:rPr>
          <w:rFonts w:eastAsia="Times New Roman" w:cstheme="minorHAnsi"/>
          <w:i/>
          <w:color w:val="333333"/>
        </w:rPr>
        <w:t>Funding</w:t>
      </w:r>
      <w:r w:rsidR="00302002" w:rsidRPr="00C95341">
        <w:rPr>
          <w:rFonts w:eastAsia="Times New Roman" w:cstheme="minorHAnsi"/>
          <w:iCs/>
          <w:color w:val="333333"/>
        </w:rPr>
        <w:t xml:space="preserve">: </w:t>
      </w:r>
      <w:r w:rsidR="00317247" w:rsidRPr="00C95341">
        <w:rPr>
          <w:rFonts w:eastAsia="Times New Roman" w:cstheme="minorHAnsi"/>
          <w:color w:val="333333"/>
        </w:rPr>
        <w:t>The method of payment or the source of funding d</w:t>
      </w:r>
      <w:bookmarkStart w:id="1" w:name="_GoBack"/>
      <w:bookmarkEnd w:id="1"/>
      <w:r w:rsidR="00317247" w:rsidRPr="00C95341">
        <w:rPr>
          <w:rFonts w:eastAsia="Times New Roman" w:cstheme="minorHAnsi"/>
          <w:color w:val="333333"/>
        </w:rPr>
        <w:t xml:space="preserve">oes not affect the definition of inventoried equipment. </w:t>
      </w:r>
      <w:r w:rsidR="0064573F" w:rsidRPr="00C95341">
        <w:rPr>
          <w:rFonts w:eastAsia="Times New Roman" w:cstheme="minorHAnsi"/>
          <w:color w:val="333333"/>
        </w:rPr>
        <w:t xml:space="preserve"> </w:t>
      </w:r>
      <w:r w:rsidR="00317247" w:rsidRPr="00C95341">
        <w:rPr>
          <w:rFonts w:eastAsia="Times New Roman" w:cstheme="minorHAnsi"/>
          <w:color w:val="333333"/>
        </w:rPr>
        <w:t>A single lump-sum payment, a down payment and/or staggered payments over any period of time, a lease-purchase agreement (with either the equipment supplier or a third-party financing entity), and a gift are all proper and possible ways of paying for equipment</w:t>
      </w:r>
      <w:r w:rsidR="006B7DBD" w:rsidRPr="00C95341">
        <w:rPr>
          <w:rFonts w:eastAsia="Times New Roman" w:cstheme="minorHAnsi"/>
          <w:color w:val="333333"/>
        </w:rPr>
        <w:t>, inventoried or not</w:t>
      </w:r>
      <w:r w:rsidR="00317247" w:rsidRPr="00C95341">
        <w:rPr>
          <w:rFonts w:eastAsia="Times New Roman" w:cstheme="minorHAnsi"/>
          <w:color w:val="333333"/>
        </w:rPr>
        <w:t xml:space="preserve">. </w:t>
      </w:r>
      <w:r w:rsidR="006B7DBD" w:rsidRPr="00C95341">
        <w:rPr>
          <w:rFonts w:eastAsia="Times New Roman" w:cstheme="minorHAnsi"/>
          <w:color w:val="333333"/>
        </w:rPr>
        <w:t xml:space="preserve"> </w:t>
      </w:r>
      <w:r w:rsidR="00317247" w:rsidRPr="00C95341">
        <w:rPr>
          <w:rFonts w:eastAsia="Times New Roman" w:cstheme="minorHAnsi"/>
          <w:color w:val="333333"/>
        </w:rPr>
        <w:t xml:space="preserve">Equipment that meets the above definitions and is acquired as part of the construction or remodeling of a building or facility </w:t>
      </w:r>
      <w:r w:rsidR="00C95341" w:rsidRPr="00C95341">
        <w:rPr>
          <w:rFonts w:eastAsia="Times New Roman" w:cstheme="minorHAnsi"/>
          <w:color w:val="333333"/>
        </w:rPr>
        <w:t>must</w:t>
      </w:r>
      <w:r w:rsidR="00317247" w:rsidRPr="00C95341">
        <w:rPr>
          <w:rFonts w:eastAsia="Times New Roman" w:cstheme="minorHAnsi"/>
          <w:color w:val="333333"/>
        </w:rPr>
        <w:t xml:space="preserve"> be separately inventoried. </w:t>
      </w:r>
      <w:r w:rsidR="00C95341" w:rsidRPr="00C95341">
        <w:rPr>
          <w:rFonts w:eastAsia="Times New Roman" w:cstheme="minorHAnsi"/>
          <w:color w:val="333333"/>
        </w:rPr>
        <w:t xml:space="preserve"> </w:t>
      </w:r>
      <w:r w:rsidR="00C76242" w:rsidRPr="00C95341">
        <w:rPr>
          <w:rFonts w:eastAsia="Times New Roman" w:cstheme="minorHAnsi"/>
          <w:color w:val="333333"/>
        </w:rPr>
        <w:t xml:space="preserve">Equipment purchased using some form of extended payment is to be treated exactly the same as equipment purchased with a single payment. </w:t>
      </w:r>
      <w:r w:rsidR="00D35803">
        <w:rPr>
          <w:rFonts w:eastAsia="Times New Roman" w:cstheme="minorHAnsi"/>
          <w:color w:val="333333"/>
        </w:rPr>
        <w:t xml:space="preserve"> </w:t>
      </w:r>
      <w:r w:rsidR="00C76242" w:rsidRPr="00C95341">
        <w:rPr>
          <w:rFonts w:eastAsia="Times New Roman" w:cstheme="minorHAnsi"/>
          <w:color w:val="333333"/>
        </w:rPr>
        <w:t>The equipment's value is the total sum of all payments including interest.</w:t>
      </w:r>
      <w:r w:rsidR="00D35803">
        <w:rPr>
          <w:rFonts w:eastAsia="Times New Roman" w:cstheme="minorHAnsi"/>
          <w:color w:val="333333"/>
        </w:rPr>
        <w:t xml:space="preserve"> </w:t>
      </w:r>
    </w:p>
    <w:p w14:paraId="5385ACF3" w14:textId="0D5B6FCC" w:rsidR="00C76242" w:rsidRPr="009B3222" w:rsidRDefault="00C76242" w:rsidP="00D87F93">
      <w:pPr>
        <w:pStyle w:val="ListParagraph"/>
        <w:numPr>
          <w:ilvl w:val="0"/>
          <w:numId w:val="4"/>
        </w:numPr>
        <w:shd w:val="clear" w:color="auto" w:fill="FFFFFF"/>
        <w:spacing w:after="120" w:line="240" w:lineRule="auto"/>
        <w:ind w:left="360"/>
        <w:rPr>
          <w:rFonts w:eastAsia="Times New Roman" w:cstheme="minorHAnsi"/>
          <w:color w:val="333333"/>
        </w:rPr>
      </w:pPr>
      <w:r w:rsidRPr="009B3222">
        <w:rPr>
          <w:rFonts w:eastAsia="Times New Roman" w:cstheme="minorHAnsi"/>
          <w:i/>
          <w:color w:val="333333"/>
        </w:rPr>
        <w:t xml:space="preserve"> Leased</w:t>
      </w:r>
      <w:r w:rsidR="009B3222" w:rsidRPr="009B3222">
        <w:rPr>
          <w:rFonts w:eastAsia="Times New Roman" w:cstheme="minorHAnsi"/>
          <w:i/>
          <w:color w:val="333333"/>
        </w:rPr>
        <w:t>-Rented</w:t>
      </w:r>
      <w:r w:rsidRPr="009B3222">
        <w:rPr>
          <w:rFonts w:eastAsia="Times New Roman" w:cstheme="minorHAnsi"/>
          <w:i/>
          <w:color w:val="333333"/>
        </w:rPr>
        <w:t xml:space="preserve"> Equipment</w:t>
      </w:r>
      <w:r w:rsidR="009B3222" w:rsidRPr="009B3222">
        <w:rPr>
          <w:rFonts w:eastAsia="Times New Roman" w:cstheme="minorHAnsi"/>
          <w:iCs/>
          <w:color w:val="333333"/>
        </w:rPr>
        <w:t xml:space="preserve">: </w:t>
      </w:r>
      <w:r w:rsidRPr="009B3222">
        <w:rPr>
          <w:rFonts w:eastAsia="Times New Roman" w:cstheme="minorHAnsi"/>
          <w:color w:val="333333"/>
        </w:rPr>
        <w:t xml:space="preserve">Equipment that is leased (with no intent to purchase), rented, or placed for demonstration purposes only is </w:t>
      </w:r>
      <w:r w:rsidRPr="009B3222">
        <w:rPr>
          <w:rFonts w:eastAsia="Times New Roman" w:cstheme="minorHAnsi"/>
          <w:color w:val="333333"/>
          <w:u w:val="single"/>
        </w:rPr>
        <w:t>not</w:t>
      </w:r>
      <w:r w:rsidRPr="009B3222">
        <w:rPr>
          <w:rFonts w:eastAsia="Times New Roman" w:cstheme="minorHAnsi"/>
          <w:color w:val="333333"/>
        </w:rPr>
        <w:t xml:space="preserve"> inventoried. Leased equipment that has only a nominal buy-out clause is to be considered a lease-purchase. (</w:t>
      </w:r>
      <w:r w:rsidR="00824B4A" w:rsidRPr="009B3222">
        <w:rPr>
          <w:rFonts w:eastAsia="Times New Roman" w:cstheme="minorHAnsi"/>
          <w:color w:val="333333"/>
        </w:rPr>
        <w:t>R</w:t>
      </w:r>
      <w:r w:rsidRPr="009B3222">
        <w:rPr>
          <w:rFonts w:eastAsia="Times New Roman" w:cstheme="minorHAnsi"/>
          <w:color w:val="333333"/>
        </w:rPr>
        <w:t xml:space="preserve">ecord rented or demo equipment in the </w:t>
      </w:r>
      <w:r w:rsidR="00562E24">
        <w:rPr>
          <w:rFonts w:eastAsia="Times New Roman" w:cstheme="minorHAnsi"/>
          <w:color w:val="333333"/>
        </w:rPr>
        <w:t>d</w:t>
      </w:r>
      <w:r w:rsidRPr="009B3222">
        <w:rPr>
          <w:rFonts w:eastAsia="Times New Roman" w:cstheme="minorHAnsi"/>
          <w:color w:val="333333"/>
        </w:rPr>
        <w:t>epartment's Sensitive Equipment List.)</w:t>
      </w:r>
    </w:p>
    <w:p w14:paraId="64DC669C" w14:textId="7EF74017" w:rsidR="00A70404" w:rsidRPr="00D87F93" w:rsidRDefault="00D50AC6" w:rsidP="00005F78">
      <w:pPr>
        <w:pStyle w:val="ListParagraph"/>
        <w:numPr>
          <w:ilvl w:val="0"/>
          <w:numId w:val="4"/>
        </w:numPr>
        <w:shd w:val="clear" w:color="auto" w:fill="FFFFFF"/>
        <w:tabs>
          <w:tab w:val="left" w:pos="541"/>
        </w:tabs>
        <w:kinsoku w:val="0"/>
        <w:overflowPunct w:val="0"/>
        <w:autoSpaceDE w:val="0"/>
        <w:autoSpaceDN w:val="0"/>
        <w:adjustRightInd w:val="0"/>
        <w:spacing w:after="120" w:line="240" w:lineRule="auto"/>
        <w:ind w:left="360"/>
        <w:contextualSpacing w:val="0"/>
        <w:jc w:val="both"/>
        <w:rPr>
          <w:rFonts w:cstheme="minorHAnsi"/>
        </w:rPr>
      </w:pPr>
      <w:r w:rsidRPr="00D87F93">
        <w:rPr>
          <w:rFonts w:eastAsia="Times New Roman" w:cstheme="minorHAnsi"/>
          <w:i/>
          <w:color w:val="333333"/>
        </w:rPr>
        <w:lastRenderedPageBreak/>
        <w:t>Reconciliations</w:t>
      </w:r>
      <w:r w:rsidR="00D87F93" w:rsidRPr="00D87F93">
        <w:rPr>
          <w:rFonts w:eastAsia="Times New Roman" w:cstheme="minorHAnsi"/>
          <w:iCs/>
          <w:color w:val="333333"/>
        </w:rPr>
        <w:t xml:space="preserve">: </w:t>
      </w:r>
      <w:r w:rsidR="00A70404" w:rsidRPr="00D87F93">
        <w:rPr>
          <w:rFonts w:cstheme="minorHAnsi"/>
          <w:spacing w:val="-1"/>
        </w:rPr>
        <w:t>Deans,</w:t>
      </w:r>
      <w:r w:rsidR="00A70404" w:rsidRPr="00D87F93">
        <w:rPr>
          <w:rFonts w:cstheme="minorHAnsi"/>
          <w:spacing w:val="2"/>
        </w:rPr>
        <w:t xml:space="preserve"> </w:t>
      </w:r>
      <w:r w:rsidR="00A70404" w:rsidRPr="00D87F93">
        <w:rPr>
          <w:rFonts w:cstheme="minorHAnsi"/>
          <w:spacing w:val="-1"/>
        </w:rPr>
        <w:t>directors, cost center managers</w:t>
      </w:r>
      <w:r w:rsidR="00A70404" w:rsidRPr="00D87F93">
        <w:rPr>
          <w:rFonts w:cstheme="minorHAnsi"/>
          <w:spacing w:val="1"/>
        </w:rPr>
        <w:t xml:space="preserve"> </w:t>
      </w:r>
      <w:r w:rsidR="00A70404" w:rsidRPr="00D87F93">
        <w:rPr>
          <w:rFonts w:cstheme="minorHAnsi"/>
          <w:spacing w:val="-1"/>
        </w:rPr>
        <w:t>and</w:t>
      </w:r>
      <w:r w:rsidR="00A70404" w:rsidRPr="00D87F93">
        <w:rPr>
          <w:rFonts w:cstheme="minorHAnsi"/>
          <w:spacing w:val="-2"/>
        </w:rPr>
        <w:t xml:space="preserve"> </w:t>
      </w:r>
      <w:r w:rsidR="00A70404" w:rsidRPr="00D87F93">
        <w:rPr>
          <w:rFonts w:cstheme="minorHAnsi"/>
          <w:spacing w:val="-1"/>
        </w:rPr>
        <w:t>department</w:t>
      </w:r>
      <w:r w:rsidR="00A70404" w:rsidRPr="00D87F93">
        <w:rPr>
          <w:rFonts w:cstheme="minorHAnsi"/>
        </w:rPr>
        <w:t xml:space="preserve"> </w:t>
      </w:r>
      <w:r w:rsidR="00A70404" w:rsidRPr="00D87F93">
        <w:rPr>
          <w:rFonts w:cstheme="minorHAnsi"/>
          <w:spacing w:val="-1"/>
        </w:rPr>
        <w:t>heads</w:t>
      </w:r>
      <w:r w:rsidR="00A70404" w:rsidRPr="00D87F93">
        <w:rPr>
          <w:rFonts w:cstheme="minorHAnsi"/>
          <w:spacing w:val="-2"/>
        </w:rPr>
        <w:t xml:space="preserve"> </w:t>
      </w:r>
      <w:r w:rsidR="00A70404" w:rsidRPr="00D87F93">
        <w:rPr>
          <w:rFonts w:cstheme="minorHAnsi"/>
          <w:spacing w:val="-1"/>
        </w:rPr>
        <w:t>are</w:t>
      </w:r>
      <w:r w:rsidR="00A70404" w:rsidRPr="00D87F93">
        <w:rPr>
          <w:rFonts w:cstheme="minorHAnsi"/>
          <w:spacing w:val="-2"/>
        </w:rPr>
        <w:t xml:space="preserve"> </w:t>
      </w:r>
      <w:r w:rsidR="00A70404" w:rsidRPr="00D87F93">
        <w:rPr>
          <w:rFonts w:cstheme="minorHAnsi"/>
          <w:spacing w:val="-1"/>
        </w:rPr>
        <w:t>responsible,</w:t>
      </w:r>
      <w:r w:rsidR="00A70404" w:rsidRPr="00D87F93">
        <w:rPr>
          <w:rFonts w:cstheme="minorHAnsi"/>
          <w:spacing w:val="2"/>
        </w:rPr>
        <w:t xml:space="preserve"> </w:t>
      </w:r>
      <w:r w:rsidR="00A70404" w:rsidRPr="00D87F93">
        <w:rPr>
          <w:rFonts w:cstheme="minorHAnsi"/>
          <w:spacing w:val="-2"/>
        </w:rPr>
        <w:t>within</w:t>
      </w:r>
      <w:r w:rsidR="00A70404" w:rsidRPr="00D87F93">
        <w:rPr>
          <w:rFonts w:cstheme="minorHAnsi"/>
        </w:rPr>
        <w:t xml:space="preserve"> </w:t>
      </w:r>
      <w:r w:rsidR="00A70404" w:rsidRPr="00D87F93">
        <w:rPr>
          <w:rFonts w:cstheme="minorHAnsi"/>
          <w:spacing w:val="-1"/>
        </w:rPr>
        <w:t>their</w:t>
      </w:r>
      <w:r w:rsidR="00A70404" w:rsidRPr="00D87F93">
        <w:rPr>
          <w:rFonts w:cstheme="minorHAnsi"/>
          <w:spacing w:val="2"/>
        </w:rPr>
        <w:t xml:space="preserve"> </w:t>
      </w:r>
      <w:r w:rsidR="00A70404" w:rsidRPr="00D87F93">
        <w:rPr>
          <w:rFonts w:cstheme="minorHAnsi"/>
          <w:spacing w:val="-1"/>
        </w:rPr>
        <w:t>area,</w:t>
      </w:r>
      <w:r w:rsidR="00A70404" w:rsidRPr="00D87F93">
        <w:rPr>
          <w:rFonts w:cstheme="minorHAnsi"/>
          <w:spacing w:val="-3"/>
        </w:rPr>
        <w:t xml:space="preserve"> </w:t>
      </w:r>
      <w:r w:rsidR="00A70404" w:rsidRPr="00D87F93">
        <w:rPr>
          <w:rFonts w:cstheme="minorHAnsi"/>
        </w:rPr>
        <w:t>for</w:t>
      </w:r>
      <w:r w:rsidR="00A70404" w:rsidRPr="00D87F93">
        <w:rPr>
          <w:rFonts w:cstheme="minorHAnsi"/>
          <w:spacing w:val="2"/>
        </w:rPr>
        <w:t xml:space="preserve"> </w:t>
      </w:r>
      <w:r w:rsidR="00A70404" w:rsidRPr="00D87F93">
        <w:rPr>
          <w:rFonts w:cstheme="minorHAnsi"/>
          <w:spacing w:val="-1"/>
        </w:rPr>
        <w:t>reconciling</w:t>
      </w:r>
      <w:r w:rsidR="00A70404" w:rsidRPr="00D87F93">
        <w:rPr>
          <w:rFonts w:cstheme="minorHAnsi"/>
          <w:spacing w:val="22"/>
        </w:rPr>
        <w:t xml:space="preserve"> </w:t>
      </w:r>
      <w:r w:rsidR="00A70404" w:rsidRPr="00D87F93">
        <w:rPr>
          <w:rFonts w:cstheme="minorHAnsi"/>
          <w:spacing w:val="-1"/>
        </w:rPr>
        <w:t>annual</w:t>
      </w:r>
      <w:r w:rsidR="00A70404" w:rsidRPr="00D87F93">
        <w:rPr>
          <w:rFonts w:cstheme="minorHAnsi"/>
        </w:rPr>
        <w:t xml:space="preserve"> </w:t>
      </w:r>
      <w:r w:rsidR="00A70404" w:rsidRPr="00D87F93">
        <w:rPr>
          <w:rFonts w:cstheme="minorHAnsi"/>
          <w:spacing w:val="-1"/>
        </w:rPr>
        <w:t>physical</w:t>
      </w:r>
      <w:r w:rsidR="00A70404" w:rsidRPr="00D87F93">
        <w:rPr>
          <w:rFonts w:cstheme="minorHAnsi"/>
        </w:rPr>
        <w:t xml:space="preserve"> </w:t>
      </w:r>
      <w:r w:rsidR="00A70404" w:rsidRPr="00D87F93">
        <w:rPr>
          <w:rFonts w:cstheme="minorHAnsi"/>
          <w:spacing w:val="-1"/>
        </w:rPr>
        <w:t>inventories</w:t>
      </w:r>
      <w:r w:rsidR="00A70404" w:rsidRPr="00D87F93">
        <w:rPr>
          <w:rFonts w:cstheme="minorHAnsi"/>
          <w:spacing w:val="1"/>
        </w:rPr>
        <w:t xml:space="preserve"> </w:t>
      </w:r>
      <w:r w:rsidR="00A70404" w:rsidRPr="00D87F93">
        <w:rPr>
          <w:rFonts w:cstheme="minorHAnsi"/>
          <w:spacing w:val="-2"/>
        </w:rPr>
        <w:t>with</w:t>
      </w:r>
      <w:r w:rsidR="00A70404" w:rsidRPr="00D87F93">
        <w:rPr>
          <w:rFonts w:cstheme="minorHAnsi"/>
        </w:rPr>
        <w:t xml:space="preserve"> </w:t>
      </w:r>
      <w:r w:rsidR="00A70404" w:rsidRPr="00D87F93">
        <w:rPr>
          <w:rFonts w:cstheme="minorHAnsi"/>
          <w:spacing w:val="-1"/>
        </w:rPr>
        <w:t>periodic</w:t>
      </w:r>
      <w:r w:rsidR="00A70404" w:rsidRPr="00D87F93">
        <w:rPr>
          <w:rFonts w:cstheme="minorHAnsi"/>
          <w:spacing w:val="1"/>
        </w:rPr>
        <w:t xml:space="preserve"> </w:t>
      </w:r>
      <w:r w:rsidR="00A70404" w:rsidRPr="00D87F93">
        <w:rPr>
          <w:rFonts w:cstheme="minorHAnsi"/>
          <w:spacing w:val="-1"/>
        </w:rPr>
        <w:t>or special</w:t>
      </w:r>
      <w:r w:rsidR="00A70404" w:rsidRPr="00D87F93">
        <w:rPr>
          <w:rFonts w:cstheme="minorHAnsi"/>
        </w:rPr>
        <w:t xml:space="preserve"> </w:t>
      </w:r>
      <w:r w:rsidR="00A70404" w:rsidRPr="00D87F93">
        <w:rPr>
          <w:rFonts w:cstheme="minorHAnsi"/>
          <w:spacing w:val="-1"/>
        </w:rPr>
        <w:t>Purchasing</w:t>
      </w:r>
      <w:r w:rsidR="00A70404" w:rsidRPr="00D87F93">
        <w:rPr>
          <w:rFonts w:cstheme="minorHAnsi"/>
          <w:spacing w:val="3"/>
        </w:rPr>
        <w:t xml:space="preserve"> </w:t>
      </w:r>
      <w:r w:rsidR="00A70404" w:rsidRPr="00D87F93">
        <w:rPr>
          <w:rFonts w:cstheme="minorHAnsi"/>
          <w:spacing w:val="-2"/>
        </w:rPr>
        <w:t>Department</w:t>
      </w:r>
      <w:r w:rsidR="00A70404" w:rsidRPr="00D87F93">
        <w:rPr>
          <w:rFonts w:cstheme="minorHAnsi"/>
        </w:rPr>
        <w:t xml:space="preserve"> </w:t>
      </w:r>
      <w:r w:rsidR="00A70404" w:rsidRPr="00D87F93">
        <w:rPr>
          <w:rFonts w:cstheme="minorHAnsi"/>
          <w:spacing w:val="-1"/>
        </w:rPr>
        <w:t>reports.</w:t>
      </w:r>
      <w:r w:rsidR="00A70404" w:rsidRPr="00D87F93">
        <w:rPr>
          <w:rFonts w:cstheme="minorHAnsi"/>
          <w:spacing w:val="59"/>
        </w:rPr>
        <w:t xml:space="preserve"> </w:t>
      </w:r>
      <w:r w:rsidR="00A70404" w:rsidRPr="00D87F93">
        <w:rPr>
          <w:rFonts w:cstheme="minorHAnsi"/>
        </w:rPr>
        <w:t>The</w:t>
      </w:r>
      <w:r w:rsidR="00A70404" w:rsidRPr="00D87F93">
        <w:rPr>
          <w:rFonts w:cstheme="minorHAnsi"/>
          <w:spacing w:val="40"/>
        </w:rPr>
        <w:t xml:space="preserve"> </w:t>
      </w:r>
      <w:r w:rsidR="00A70404" w:rsidRPr="00D87F93">
        <w:rPr>
          <w:rFonts w:cstheme="minorHAnsi"/>
          <w:spacing w:val="-1"/>
        </w:rPr>
        <w:t>accuracy</w:t>
      </w:r>
      <w:r w:rsidR="00A70404" w:rsidRPr="00D87F93">
        <w:rPr>
          <w:rFonts w:cstheme="minorHAnsi"/>
          <w:spacing w:val="-2"/>
        </w:rPr>
        <w:t xml:space="preserve"> of</w:t>
      </w:r>
      <w:r w:rsidR="00A70404" w:rsidRPr="00D87F93">
        <w:rPr>
          <w:rFonts w:cstheme="minorHAnsi"/>
          <w:spacing w:val="2"/>
        </w:rPr>
        <w:t xml:space="preserve"> </w:t>
      </w:r>
      <w:r w:rsidR="00A70404" w:rsidRPr="00D87F93">
        <w:rPr>
          <w:rFonts w:cstheme="minorHAnsi"/>
          <w:spacing w:val="-1"/>
        </w:rPr>
        <w:t>such</w:t>
      </w:r>
      <w:r w:rsidR="00A70404" w:rsidRPr="00D87F93">
        <w:rPr>
          <w:rFonts w:cstheme="minorHAnsi"/>
          <w:spacing w:val="-2"/>
        </w:rPr>
        <w:t xml:space="preserve"> </w:t>
      </w:r>
      <w:r w:rsidR="00A70404" w:rsidRPr="00D87F93">
        <w:rPr>
          <w:rFonts w:cstheme="minorHAnsi"/>
          <w:spacing w:val="-1"/>
        </w:rPr>
        <w:t>reconciliations</w:t>
      </w:r>
      <w:r w:rsidR="00A70404" w:rsidRPr="00D87F93">
        <w:rPr>
          <w:rFonts w:cstheme="minorHAnsi"/>
          <w:spacing w:val="1"/>
        </w:rPr>
        <w:t xml:space="preserve"> </w:t>
      </w:r>
      <w:r w:rsidR="00A70404" w:rsidRPr="00D87F93">
        <w:rPr>
          <w:rFonts w:cstheme="minorHAnsi"/>
          <w:spacing w:val="-1"/>
        </w:rPr>
        <w:t>shall</w:t>
      </w:r>
      <w:r w:rsidR="00A70404" w:rsidRPr="00D87F93">
        <w:rPr>
          <w:rFonts w:cstheme="minorHAnsi"/>
        </w:rPr>
        <w:t xml:space="preserve"> </w:t>
      </w:r>
      <w:r w:rsidR="00A70404" w:rsidRPr="00D87F93">
        <w:rPr>
          <w:rFonts w:cstheme="minorHAnsi"/>
          <w:spacing w:val="-1"/>
        </w:rPr>
        <w:t>be</w:t>
      </w:r>
      <w:r w:rsidR="00A70404" w:rsidRPr="00D87F93">
        <w:rPr>
          <w:rFonts w:cstheme="minorHAnsi"/>
        </w:rPr>
        <w:t xml:space="preserve"> </w:t>
      </w:r>
      <w:r w:rsidR="00A70404" w:rsidRPr="00D87F93">
        <w:rPr>
          <w:rFonts w:cstheme="minorHAnsi"/>
          <w:spacing w:val="-1"/>
        </w:rPr>
        <w:t>documented</w:t>
      </w:r>
      <w:r w:rsidR="00A70404" w:rsidRPr="00D87F93">
        <w:rPr>
          <w:rFonts w:cstheme="minorHAnsi"/>
        </w:rPr>
        <w:t xml:space="preserve"> </w:t>
      </w:r>
      <w:r w:rsidR="00A70404" w:rsidRPr="00D87F93">
        <w:rPr>
          <w:rFonts w:cstheme="minorHAnsi"/>
          <w:spacing w:val="-1"/>
        </w:rPr>
        <w:t>by</w:t>
      </w:r>
      <w:r w:rsidR="00A70404" w:rsidRPr="00D87F93">
        <w:rPr>
          <w:rFonts w:cstheme="minorHAnsi"/>
          <w:spacing w:val="-2"/>
        </w:rPr>
        <w:t xml:space="preserve"> </w:t>
      </w:r>
      <w:r w:rsidR="00A70404" w:rsidRPr="00D87F93">
        <w:rPr>
          <w:rFonts w:cstheme="minorHAnsi"/>
          <w:spacing w:val="-1"/>
        </w:rPr>
        <w:t>signed</w:t>
      </w:r>
      <w:r w:rsidR="00A70404" w:rsidRPr="00D87F93">
        <w:rPr>
          <w:rFonts w:cstheme="minorHAnsi"/>
        </w:rPr>
        <w:t xml:space="preserve"> </w:t>
      </w:r>
      <w:r w:rsidR="00A70404" w:rsidRPr="00D87F93">
        <w:rPr>
          <w:rFonts w:cstheme="minorHAnsi"/>
          <w:spacing w:val="-1"/>
        </w:rPr>
        <w:t>certification.</w:t>
      </w:r>
    </w:p>
    <w:p w14:paraId="6C2600AD" w14:textId="0CC40E90" w:rsidR="00207234" w:rsidRPr="00256036" w:rsidRDefault="00C76242" w:rsidP="00005F78">
      <w:pPr>
        <w:pStyle w:val="ListParagraph"/>
        <w:numPr>
          <w:ilvl w:val="0"/>
          <w:numId w:val="4"/>
        </w:numPr>
        <w:spacing w:after="120" w:line="240" w:lineRule="auto"/>
        <w:ind w:left="360"/>
        <w:contextualSpacing w:val="0"/>
        <w:rPr>
          <w:rFonts w:eastAsia="Times New Roman" w:cstheme="minorHAnsi"/>
          <w:color w:val="333333"/>
        </w:rPr>
      </w:pPr>
      <w:r w:rsidRPr="00256036">
        <w:rPr>
          <w:rFonts w:eastAsia="Times New Roman" w:cstheme="minorHAnsi"/>
          <w:i/>
          <w:color w:val="333333"/>
        </w:rPr>
        <w:t>Purchasing Equipment</w:t>
      </w:r>
      <w:r w:rsidR="0079415A" w:rsidRPr="00256036">
        <w:rPr>
          <w:rFonts w:eastAsia="Times New Roman" w:cstheme="minorHAnsi"/>
          <w:i/>
          <w:color w:val="333333"/>
        </w:rPr>
        <w:t xml:space="preserve"> Through Workday</w:t>
      </w:r>
      <w:r w:rsidR="006227FB" w:rsidRPr="00256036">
        <w:rPr>
          <w:rFonts w:eastAsia="Times New Roman" w:cstheme="minorHAnsi"/>
          <w:iCs/>
          <w:color w:val="333333"/>
        </w:rPr>
        <w:t xml:space="preserve">: </w:t>
      </w:r>
      <w:r w:rsidR="00207234" w:rsidRPr="00256036">
        <w:rPr>
          <w:rFonts w:eastAsia="Times New Roman" w:cstheme="minorHAnsi"/>
          <w:color w:val="333333"/>
        </w:rPr>
        <w:t xml:space="preserve">Equipment must be purchased </w:t>
      </w:r>
      <w:r w:rsidR="00363B34" w:rsidRPr="00256036">
        <w:rPr>
          <w:rFonts w:eastAsia="Times New Roman" w:cstheme="minorHAnsi"/>
          <w:color w:val="333333"/>
        </w:rPr>
        <w:t>using a</w:t>
      </w:r>
      <w:r w:rsidR="00207234" w:rsidRPr="00256036">
        <w:rPr>
          <w:rFonts w:eastAsia="Times New Roman" w:cstheme="minorHAnsi"/>
          <w:color w:val="333333"/>
        </w:rPr>
        <w:t xml:space="preserve"> Workday </w:t>
      </w:r>
      <w:r w:rsidR="00256036" w:rsidRPr="00256036">
        <w:rPr>
          <w:rFonts w:eastAsia="Times New Roman" w:cstheme="minorHAnsi"/>
          <w:color w:val="333333"/>
        </w:rPr>
        <w:t xml:space="preserve">requisition using </w:t>
      </w:r>
      <w:r w:rsidR="00207234" w:rsidRPr="00256036">
        <w:rPr>
          <w:rFonts w:eastAsia="Times New Roman" w:cstheme="minorHAnsi"/>
          <w:color w:val="333333"/>
        </w:rPr>
        <w:t>a Goods line with the proper trackable spend category.</w:t>
      </w:r>
      <w:r w:rsidR="00256036" w:rsidRPr="00256036">
        <w:rPr>
          <w:rFonts w:eastAsia="Times New Roman" w:cstheme="minorHAnsi"/>
          <w:color w:val="333333"/>
        </w:rPr>
        <w:t xml:space="preserve">  </w:t>
      </w:r>
      <w:r w:rsidR="00207234" w:rsidRPr="00256036">
        <w:rPr>
          <w:rFonts w:eastAsia="Times New Roman" w:cstheme="minorHAnsi"/>
          <w:color w:val="333333"/>
        </w:rPr>
        <w:t>When the equipment is received</w:t>
      </w:r>
      <w:r w:rsidR="002B7A85">
        <w:rPr>
          <w:rFonts w:eastAsia="Times New Roman" w:cstheme="minorHAnsi"/>
          <w:color w:val="333333"/>
        </w:rPr>
        <w:t>, it needs to be logged</w:t>
      </w:r>
      <w:r w:rsidR="00BC46E4">
        <w:rPr>
          <w:rFonts w:eastAsia="Times New Roman" w:cstheme="minorHAnsi"/>
          <w:color w:val="333333"/>
        </w:rPr>
        <w:t xml:space="preserve"> using a Workday Re</w:t>
      </w:r>
      <w:r w:rsidR="006809D9">
        <w:rPr>
          <w:rFonts w:eastAsia="Times New Roman" w:cstheme="minorHAnsi"/>
          <w:color w:val="333333"/>
        </w:rPr>
        <w:t xml:space="preserve">ceipt.  </w:t>
      </w:r>
      <w:r w:rsidR="00857351">
        <w:rPr>
          <w:rFonts w:eastAsia="Times New Roman" w:cstheme="minorHAnsi"/>
          <w:color w:val="333333"/>
        </w:rPr>
        <w:t xml:space="preserve">It will then be </w:t>
      </w:r>
      <w:r w:rsidR="00207234" w:rsidRPr="00256036">
        <w:rPr>
          <w:rFonts w:eastAsia="Times New Roman" w:cstheme="minorHAnsi"/>
          <w:color w:val="333333"/>
        </w:rPr>
        <w:t xml:space="preserve">sent to </w:t>
      </w:r>
      <w:r w:rsidR="00857351">
        <w:rPr>
          <w:rFonts w:eastAsia="Times New Roman" w:cstheme="minorHAnsi"/>
          <w:color w:val="333333"/>
        </w:rPr>
        <w:t>the B</w:t>
      </w:r>
      <w:r w:rsidR="00207234" w:rsidRPr="00256036">
        <w:rPr>
          <w:rFonts w:eastAsia="Times New Roman" w:cstheme="minorHAnsi"/>
          <w:color w:val="333333"/>
        </w:rPr>
        <w:t xml:space="preserve">usiness </w:t>
      </w:r>
      <w:r w:rsidR="00857351">
        <w:rPr>
          <w:rFonts w:eastAsia="Times New Roman" w:cstheme="minorHAnsi"/>
          <w:color w:val="333333"/>
        </w:rPr>
        <w:t>A</w:t>
      </w:r>
      <w:r w:rsidR="00207234" w:rsidRPr="00256036">
        <w:rPr>
          <w:rFonts w:eastAsia="Times New Roman" w:cstheme="minorHAnsi"/>
          <w:color w:val="333333"/>
        </w:rPr>
        <w:t xml:space="preserve">sset </w:t>
      </w:r>
      <w:r w:rsidR="00005F78">
        <w:rPr>
          <w:rFonts w:eastAsia="Times New Roman" w:cstheme="minorHAnsi"/>
          <w:color w:val="333333"/>
        </w:rPr>
        <w:t>A</w:t>
      </w:r>
      <w:r w:rsidR="00207234" w:rsidRPr="00256036">
        <w:rPr>
          <w:rFonts w:eastAsia="Times New Roman" w:cstheme="minorHAnsi"/>
          <w:color w:val="333333"/>
        </w:rPr>
        <w:t>ccountant.</w:t>
      </w:r>
    </w:p>
    <w:p w14:paraId="59348526" w14:textId="6FEE69A4" w:rsidR="00A67D0A" w:rsidRPr="00CC7D2C" w:rsidRDefault="00C76242" w:rsidP="00DF0975">
      <w:pPr>
        <w:pStyle w:val="ListParagraph"/>
        <w:numPr>
          <w:ilvl w:val="0"/>
          <w:numId w:val="4"/>
        </w:numPr>
        <w:spacing w:after="120" w:line="240" w:lineRule="auto"/>
        <w:ind w:left="360"/>
        <w:contextualSpacing w:val="0"/>
        <w:rPr>
          <w:rFonts w:eastAsia="Times New Roman" w:cstheme="minorHAnsi"/>
          <w:color w:val="333333"/>
        </w:rPr>
      </w:pPr>
      <w:r w:rsidRPr="00CC7D2C">
        <w:rPr>
          <w:rFonts w:eastAsia="Times New Roman" w:cstheme="minorHAnsi"/>
          <w:i/>
          <w:color w:val="333333"/>
        </w:rPr>
        <w:t>Inventory Tags and Responsibility</w:t>
      </w:r>
      <w:r w:rsidR="00005F78" w:rsidRPr="00CC7D2C">
        <w:rPr>
          <w:rFonts w:eastAsia="Times New Roman" w:cstheme="minorHAnsi"/>
          <w:iCs/>
          <w:color w:val="333333"/>
        </w:rPr>
        <w:t xml:space="preserve">: </w:t>
      </w:r>
      <w:r w:rsidR="00523E0B" w:rsidRPr="00CC7D2C">
        <w:rPr>
          <w:rFonts w:eastAsia="Times New Roman" w:cstheme="minorHAnsi"/>
          <w:iCs/>
          <w:color w:val="333333"/>
        </w:rPr>
        <w:t xml:space="preserve">Every </w:t>
      </w:r>
      <w:r w:rsidR="00006EF7" w:rsidRPr="00CC7D2C">
        <w:rPr>
          <w:rFonts w:eastAsia="Times New Roman" w:cstheme="minorHAnsi"/>
          <w:iCs/>
          <w:color w:val="333333"/>
        </w:rPr>
        <w:t xml:space="preserve">piece of inventoried equipment must </w:t>
      </w:r>
      <w:r w:rsidR="0065371C" w:rsidRPr="00CC7D2C">
        <w:rPr>
          <w:rFonts w:eastAsia="Times New Roman" w:cstheme="minorHAnsi"/>
          <w:iCs/>
          <w:color w:val="333333"/>
        </w:rPr>
        <w:t xml:space="preserve">have the proper inventory tag </w:t>
      </w:r>
      <w:r w:rsidR="003F06E8" w:rsidRPr="00CC7D2C">
        <w:rPr>
          <w:rFonts w:eastAsia="Times New Roman" w:cstheme="minorHAnsi"/>
          <w:iCs/>
          <w:color w:val="333333"/>
        </w:rPr>
        <w:t>affixed</w:t>
      </w:r>
      <w:r w:rsidR="00CA0BEF" w:rsidRPr="00CC7D2C">
        <w:rPr>
          <w:rFonts w:eastAsia="Times New Roman" w:cstheme="minorHAnsi"/>
          <w:iCs/>
          <w:color w:val="333333"/>
        </w:rPr>
        <w:t>, and</w:t>
      </w:r>
      <w:r w:rsidR="003F06E8" w:rsidRPr="00CC7D2C">
        <w:rPr>
          <w:rFonts w:eastAsia="Times New Roman" w:cstheme="minorHAnsi"/>
          <w:iCs/>
          <w:color w:val="333333"/>
        </w:rPr>
        <w:t xml:space="preserve"> </w:t>
      </w:r>
      <w:r w:rsidR="007D018A" w:rsidRPr="00CC7D2C">
        <w:rPr>
          <w:rFonts w:eastAsia="Times New Roman" w:cstheme="minorHAnsi"/>
          <w:iCs/>
          <w:color w:val="333333"/>
        </w:rPr>
        <w:t xml:space="preserve">it must be </w:t>
      </w:r>
      <w:r w:rsidR="003F06E8" w:rsidRPr="00CC7D2C">
        <w:rPr>
          <w:rFonts w:eastAsia="Times New Roman" w:cstheme="minorHAnsi"/>
          <w:iCs/>
          <w:color w:val="333333"/>
        </w:rPr>
        <w:t>logged into AssetWorks</w:t>
      </w:r>
      <w:r w:rsidR="00237949" w:rsidRPr="00CC7D2C">
        <w:rPr>
          <w:rFonts w:eastAsia="Times New Roman" w:cstheme="minorHAnsi"/>
          <w:iCs/>
          <w:color w:val="333333"/>
        </w:rPr>
        <w:t xml:space="preserve">-Workday with the </w:t>
      </w:r>
      <w:r w:rsidR="007E1C6B" w:rsidRPr="00CC7D2C">
        <w:rPr>
          <w:rFonts w:eastAsia="Times New Roman" w:cstheme="minorHAnsi"/>
          <w:iCs/>
          <w:color w:val="333333"/>
        </w:rPr>
        <w:t xml:space="preserve">make, model, serial </w:t>
      </w:r>
      <w:r w:rsidR="00014B6A" w:rsidRPr="00CC7D2C">
        <w:rPr>
          <w:rFonts w:eastAsia="Times New Roman" w:cstheme="minorHAnsi"/>
          <w:iCs/>
          <w:color w:val="333333"/>
        </w:rPr>
        <w:t>number,</w:t>
      </w:r>
      <w:r w:rsidR="007E1C6B" w:rsidRPr="00CC7D2C">
        <w:rPr>
          <w:rFonts w:eastAsia="Times New Roman" w:cstheme="minorHAnsi"/>
          <w:iCs/>
          <w:color w:val="333333"/>
        </w:rPr>
        <w:t xml:space="preserve"> and location.  </w:t>
      </w:r>
      <w:r w:rsidR="008E5A79" w:rsidRPr="00CC7D2C">
        <w:rPr>
          <w:rFonts w:eastAsia="Times New Roman" w:cstheme="minorHAnsi"/>
          <w:color w:val="333333"/>
        </w:rPr>
        <w:t>As part of every</w:t>
      </w:r>
      <w:r w:rsidR="009C6DEA" w:rsidRPr="00CC7D2C">
        <w:rPr>
          <w:rFonts w:eastAsia="Times New Roman" w:cstheme="minorHAnsi"/>
          <w:color w:val="333333"/>
        </w:rPr>
        <w:t xml:space="preserve"> NSHE employee</w:t>
      </w:r>
      <w:r w:rsidR="008E5A79" w:rsidRPr="00CC7D2C">
        <w:rPr>
          <w:rFonts w:eastAsia="Times New Roman" w:cstheme="minorHAnsi"/>
          <w:color w:val="333333"/>
        </w:rPr>
        <w:t>’</w:t>
      </w:r>
      <w:r w:rsidR="009C6DEA" w:rsidRPr="00CC7D2C">
        <w:rPr>
          <w:rFonts w:eastAsia="Times New Roman" w:cstheme="minorHAnsi"/>
          <w:color w:val="333333"/>
        </w:rPr>
        <w:t>s responsib</w:t>
      </w:r>
      <w:r w:rsidR="009A1070" w:rsidRPr="00CC7D2C">
        <w:rPr>
          <w:rFonts w:eastAsia="Times New Roman" w:cstheme="minorHAnsi"/>
          <w:color w:val="333333"/>
        </w:rPr>
        <w:t xml:space="preserve">ility </w:t>
      </w:r>
      <w:r w:rsidR="00454B93" w:rsidRPr="00CC7D2C">
        <w:rPr>
          <w:rFonts w:eastAsia="Times New Roman" w:cstheme="minorHAnsi"/>
          <w:color w:val="333333"/>
        </w:rPr>
        <w:t xml:space="preserve">to properly care for NSHE property, employees are also </w:t>
      </w:r>
      <w:r w:rsidR="00251C97" w:rsidRPr="00CC7D2C">
        <w:rPr>
          <w:rFonts w:eastAsia="Times New Roman" w:cstheme="minorHAnsi"/>
          <w:color w:val="333333"/>
        </w:rPr>
        <w:t xml:space="preserve">responsible that equipment is properly </w:t>
      </w:r>
      <w:r w:rsidR="00FE1B03" w:rsidRPr="00CC7D2C">
        <w:rPr>
          <w:rFonts w:eastAsia="Times New Roman" w:cstheme="minorHAnsi"/>
          <w:color w:val="333333"/>
        </w:rPr>
        <w:t>recorded</w:t>
      </w:r>
      <w:r w:rsidR="001E40D0" w:rsidRPr="00CC7D2C">
        <w:rPr>
          <w:rFonts w:eastAsia="Times New Roman" w:cstheme="minorHAnsi"/>
          <w:color w:val="333333"/>
        </w:rPr>
        <w:t>.</w:t>
      </w:r>
      <w:r w:rsidR="0004169C">
        <w:rPr>
          <w:rFonts w:eastAsia="Times New Roman" w:cstheme="minorHAnsi"/>
          <w:color w:val="333333"/>
        </w:rPr>
        <w:t xml:space="preserve"> </w:t>
      </w:r>
      <w:r w:rsidR="009A1070" w:rsidRPr="00CC7D2C">
        <w:rPr>
          <w:rFonts w:eastAsia="Times New Roman" w:cstheme="minorHAnsi"/>
          <w:color w:val="333333"/>
        </w:rPr>
        <w:t xml:space="preserve"> </w:t>
      </w:r>
      <w:r w:rsidR="009C6DEA" w:rsidRPr="00CC7D2C">
        <w:rPr>
          <w:rFonts w:eastAsia="Times New Roman" w:cstheme="minorHAnsi"/>
          <w:color w:val="333333"/>
        </w:rPr>
        <w:t>The safekeeping of all System property regardless of value, is everyone’s responsibility.</w:t>
      </w:r>
      <w:r w:rsidR="0004169C">
        <w:rPr>
          <w:rFonts w:eastAsia="Times New Roman" w:cstheme="minorHAnsi"/>
          <w:color w:val="333333"/>
        </w:rPr>
        <w:t xml:space="preserve"> </w:t>
      </w:r>
      <w:r w:rsidR="009C6DEA" w:rsidRPr="00CC7D2C">
        <w:rPr>
          <w:rFonts w:eastAsia="Times New Roman" w:cstheme="minorHAnsi"/>
          <w:color w:val="333333"/>
        </w:rPr>
        <w:t xml:space="preserve"> </w:t>
      </w:r>
      <w:r w:rsidR="0004169C">
        <w:rPr>
          <w:rFonts w:eastAsia="Times New Roman" w:cstheme="minorHAnsi"/>
          <w:color w:val="333333"/>
        </w:rPr>
        <w:t>Everyone is</w:t>
      </w:r>
      <w:r w:rsidR="009C6DEA" w:rsidRPr="00CC7D2C">
        <w:rPr>
          <w:rFonts w:eastAsia="Times New Roman" w:cstheme="minorHAnsi"/>
          <w:color w:val="333333"/>
        </w:rPr>
        <w:t xml:space="preserve"> responsible for ensuring equipment is secure and for timely reporting of equi</w:t>
      </w:r>
      <w:r w:rsidRPr="00CC7D2C">
        <w:rPr>
          <w:rFonts w:eastAsia="Times New Roman" w:cstheme="minorHAnsi"/>
          <w:color w:val="333333"/>
        </w:rPr>
        <w:t>pment status and discrepancies.</w:t>
      </w:r>
    </w:p>
    <w:p w14:paraId="58CF540A" w14:textId="59CE8970" w:rsidR="00A015E6" w:rsidRPr="00F744DA" w:rsidRDefault="00565CAB" w:rsidP="005469DF">
      <w:pPr>
        <w:pStyle w:val="ListParagraph"/>
        <w:numPr>
          <w:ilvl w:val="0"/>
          <w:numId w:val="4"/>
        </w:numPr>
        <w:shd w:val="clear" w:color="auto" w:fill="FFFFFF"/>
        <w:spacing w:after="120" w:line="240" w:lineRule="auto"/>
        <w:ind w:left="360"/>
        <w:contextualSpacing w:val="0"/>
        <w:rPr>
          <w:rFonts w:eastAsia="Times New Roman" w:cstheme="minorHAnsi"/>
          <w:color w:val="333333"/>
        </w:rPr>
      </w:pPr>
      <w:r w:rsidRPr="00F744DA">
        <w:rPr>
          <w:rFonts w:eastAsia="Times New Roman" w:cstheme="minorHAnsi"/>
          <w:i/>
          <w:color w:val="333333"/>
        </w:rPr>
        <w:t xml:space="preserve"> Fabricated Equipment</w:t>
      </w:r>
      <w:r w:rsidR="00C77D89" w:rsidRPr="00F744DA">
        <w:rPr>
          <w:rFonts w:eastAsia="Times New Roman" w:cstheme="minorHAnsi"/>
          <w:iCs/>
          <w:color w:val="333333"/>
        </w:rPr>
        <w:t xml:space="preserve">: </w:t>
      </w:r>
      <w:r w:rsidR="00A015E6" w:rsidRPr="00F744DA">
        <w:rPr>
          <w:rFonts w:eastAsia="Times New Roman" w:cstheme="minorHAnsi"/>
          <w:color w:val="333333"/>
        </w:rPr>
        <w:t>If</w:t>
      </w:r>
      <w:r w:rsidR="00317247" w:rsidRPr="00F744DA">
        <w:rPr>
          <w:rFonts w:eastAsia="Times New Roman" w:cstheme="minorHAnsi"/>
          <w:color w:val="333333"/>
        </w:rPr>
        <w:t xml:space="preserve"> inventoried equipment is to be fabricated, the responsible department must have a </w:t>
      </w:r>
      <w:r w:rsidR="00F63857" w:rsidRPr="00F744DA">
        <w:rPr>
          <w:rFonts w:eastAsia="Times New Roman" w:cstheme="minorHAnsi"/>
          <w:color w:val="333333"/>
        </w:rPr>
        <w:t>Workday P</w:t>
      </w:r>
      <w:r w:rsidR="00A015E6" w:rsidRPr="00F744DA">
        <w:rPr>
          <w:rFonts w:eastAsia="Times New Roman" w:cstheme="minorHAnsi"/>
          <w:color w:val="333333"/>
        </w:rPr>
        <w:t>roject</w:t>
      </w:r>
      <w:r w:rsidR="00317247" w:rsidRPr="00F744DA">
        <w:rPr>
          <w:rFonts w:eastAsia="Times New Roman" w:cstheme="minorHAnsi"/>
          <w:color w:val="333333"/>
        </w:rPr>
        <w:t xml:space="preserve"> </w:t>
      </w:r>
      <w:r w:rsidR="00B817E8" w:rsidRPr="00F744DA">
        <w:rPr>
          <w:rFonts w:eastAsia="Times New Roman" w:cstheme="minorHAnsi"/>
          <w:color w:val="333333"/>
        </w:rPr>
        <w:t>N</w:t>
      </w:r>
      <w:r w:rsidR="00317247" w:rsidRPr="00F744DA">
        <w:rPr>
          <w:rFonts w:eastAsia="Times New Roman" w:cstheme="minorHAnsi"/>
          <w:color w:val="333333"/>
        </w:rPr>
        <w:t>umber assigned (for tracking purposes) prior to beginning the fabrication process.</w:t>
      </w:r>
      <w:r w:rsidR="00B817E8" w:rsidRPr="00F744DA">
        <w:rPr>
          <w:rFonts w:eastAsia="Times New Roman" w:cstheme="minorHAnsi"/>
          <w:color w:val="333333"/>
        </w:rPr>
        <w:t xml:space="preserve">  </w:t>
      </w:r>
      <w:r w:rsidR="00A015E6" w:rsidRPr="00F744DA">
        <w:rPr>
          <w:rFonts w:eastAsia="Times New Roman" w:cstheme="minorHAnsi"/>
          <w:color w:val="333333"/>
        </w:rPr>
        <w:t xml:space="preserve">A fabrication is a piece of equipment that is being created and constructed by </w:t>
      </w:r>
      <w:r w:rsidR="007D1605" w:rsidRPr="00F744DA">
        <w:rPr>
          <w:rFonts w:eastAsia="Times New Roman" w:cstheme="minorHAnsi"/>
          <w:color w:val="333333"/>
        </w:rPr>
        <w:t>NSHE</w:t>
      </w:r>
      <w:r w:rsidR="00A015E6" w:rsidRPr="00F744DA">
        <w:rPr>
          <w:rFonts w:eastAsia="Times New Roman" w:cstheme="minorHAnsi"/>
          <w:color w:val="333333"/>
        </w:rPr>
        <w:t xml:space="preserve">. Generally, each part of a fabrication would not </w:t>
      </w:r>
      <w:r w:rsidR="007D1605" w:rsidRPr="00F744DA">
        <w:rPr>
          <w:rFonts w:eastAsia="Times New Roman" w:cstheme="minorHAnsi"/>
          <w:color w:val="333333"/>
        </w:rPr>
        <w:t>cost</w:t>
      </w:r>
      <w:r w:rsidR="00A015E6" w:rsidRPr="00F744DA">
        <w:rPr>
          <w:rFonts w:eastAsia="Times New Roman" w:cstheme="minorHAnsi"/>
          <w:color w:val="333333"/>
        </w:rPr>
        <w:t xml:space="preserve"> enough (over $5,000) to be capitalized and would not function as a separate piece of equipment. There are exceptions, as in lasers, where the parts that make up the finished piece of equipment are over $5,000 but these parts must meet the unable to function alone criterion. </w:t>
      </w:r>
      <w:r w:rsidR="00A015E6" w:rsidRPr="00F744DA">
        <w:rPr>
          <w:rFonts w:eastAsia="Times New Roman" w:cstheme="minorHAnsi"/>
          <w:b/>
          <w:bCs/>
          <w:color w:val="333333"/>
        </w:rPr>
        <w:t>If a piece of a fabrication can function on its own, and is over $5,000, it is a piece of equipment and must be tagged separately.</w:t>
      </w:r>
      <w:r w:rsidR="00A015E6" w:rsidRPr="00F744DA">
        <w:rPr>
          <w:rFonts w:eastAsia="Times New Roman" w:cstheme="minorHAnsi"/>
          <w:color w:val="333333"/>
        </w:rPr>
        <w:t xml:space="preserve"> A fabrication must, when complete, be $5,000 or over in value.</w:t>
      </w:r>
      <w:r w:rsidR="006C384B" w:rsidRPr="00F744DA">
        <w:rPr>
          <w:rFonts w:eastAsia="Times New Roman" w:cstheme="minorHAnsi"/>
          <w:color w:val="333333"/>
        </w:rPr>
        <w:t xml:space="preserve">  </w:t>
      </w:r>
      <w:r w:rsidR="00A015E6" w:rsidRPr="00F744DA">
        <w:rPr>
          <w:rFonts w:eastAsia="Times New Roman" w:cstheme="minorHAnsi"/>
          <w:color w:val="333333"/>
        </w:rPr>
        <w:t xml:space="preserve">Equipment being fabricated by outside </w:t>
      </w:r>
      <w:r w:rsidR="00F744DA">
        <w:rPr>
          <w:rFonts w:eastAsia="Times New Roman" w:cstheme="minorHAnsi"/>
          <w:color w:val="333333"/>
        </w:rPr>
        <w:t>suppliers-contractors</w:t>
      </w:r>
      <w:r w:rsidR="00A015E6" w:rsidRPr="00F744DA">
        <w:rPr>
          <w:rFonts w:eastAsia="Times New Roman" w:cstheme="minorHAnsi"/>
          <w:color w:val="333333"/>
        </w:rPr>
        <w:t xml:space="preserve"> is not a fabrication. </w:t>
      </w:r>
      <w:r w:rsidR="00F744DA">
        <w:rPr>
          <w:rFonts w:eastAsia="Times New Roman" w:cstheme="minorHAnsi"/>
          <w:color w:val="333333"/>
        </w:rPr>
        <w:t xml:space="preserve"> </w:t>
      </w:r>
      <w:r w:rsidR="00A015E6" w:rsidRPr="00F744DA">
        <w:rPr>
          <w:rFonts w:eastAsia="Times New Roman" w:cstheme="minorHAnsi"/>
          <w:color w:val="333333"/>
        </w:rPr>
        <w:t xml:space="preserve">Equipment, such as a seismic table that is constructed to be destroyed in an experiment is not a fabrication. </w:t>
      </w:r>
      <w:r w:rsidR="006C4039">
        <w:rPr>
          <w:rFonts w:eastAsia="Times New Roman" w:cstheme="minorHAnsi"/>
          <w:color w:val="333333"/>
        </w:rPr>
        <w:t xml:space="preserve">The </w:t>
      </w:r>
      <w:r w:rsidR="00D60C77">
        <w:rPr>
          <w:rFonts w:eastAsia="Times New Roman" w:cstheme="minorHAnsi"/>
          <w:color w:val="333333"/>
        </w:rPr>
        <w:t xml:space="preserve">construction of </w:t>
      </w:r>
      <w:r w:rsidR="00A015E6" w:rsidRPr="00F744DA">
        <w:rPr>
          <w:rFonts w:eastAsia="Times New Roman" w:cstheme="minorHAnsi"/>
          <w:color w:val="333333"/>
        </w:rPr>
        <w:t>fabricat</w:t>
      </w:r>
      <w:r w:rsidR="00D60C77">
        <w:rPr>
          <w:rFonts w:eastAsia="Times New Roman" w:cstheme="minorHAnsi"/>
          <w:color w:val="333333"/>
        </w:rPr>
        <w:t>ed equ</w:t>
      </w:r>
      <w:r w:rsidR="000410A5">
        <w:rPr>
          <w:rFonts w:eastAsia="Times New Roman" w:cstheme="minorHAnsi"/>
          <w:color w:val="333333"/>
        </w:rPr>
        <w:t>ipment</w:t>
      </w:r>
      <w:r w:rsidR="00A015E6" w:rsidRPr="00F744DA">
        <w:rPr>
          <w:rFonts w:eastAsia="Times New Roman" w:cstheme="minorHAnsi"/>
          <w:color w:val="333333"/>
        </w:rPr>
        <w:t xml:space="preserve"> should not last longer than two years</w:t>
      </w:r>
      <w:r w:rsidR="000410A5">
        <w:rPr>
          <w:rFonts w:eastAsia="Times New Roman" w:cstheme="minorHAnsi"/>
          <w:color w:val="333333"/>
        </w:rPr>
        <w:t>.</w:t>
      </w:r>
      <w:r w:rsidR="00A015E6" w:rsidRPr="00F744DA">
        <w:rPr>
          <w:rFonts w:eastAsia="Times New Roman" w:cstheme="minorHAnsi"/>
          <w:color w:val="333333"/>
        </w:rPr>
        <w:t xml:space="preserve"> </w:t>
      </w:r>
      <w:r w:rsidR="000410A5">
        <w:rPr>
          <w:rFonts w:eastAsia="Times New Roman" w:cstheme="minorHAnsi"/>
          <w:color w:val="333333"/>
        </w:rPr>
        <w:t xml:space="preserve"> I</w:t>
      </w:r>
      <w:r w:rsidR="00A015E6" w:rsidRPr="00F744DA">
        <w:rPr>
          <w:rFonts w:eastAsia="Times New Roman" w:cstheme="minorHAnsi"/>
          <w:color w:val="333333"/>
        </w:rPr>
        <w:t xml:space="preserve">f it does go beyond the </w:t>
      </w:r>
      <w:r w:rsidR="00252394" w:rsidRPr="00F744DA">
        <w:rPr>
          <w:rFonts w:eastAsia="Times New Roman" w:cstheme="minorHAnsi"/>
          <w:color w:val="333333"/>
        </w:rPr>
        <w:t>two-year</w:t>
      </w:r>
      <w:r w:rsidR="00A015E6" w:rsidRPr="00F744DA">
        <w:rPr>
          <w:rFonts w:eastAsia="Times New Roman" w:cstheme="minorHAnsi"/>
          <w:color w:val="333333"/>
        </w:rPr>
        <w:t xml:space="preserve"> limit</w:t>
      </w:r>
      <w:r w:rsidR="000410A5">
        <w:rPr>
          <w:rFonts w:eastAsia="Times New Roman" w:cstheme="minorHAnsi"/>
          <w:color w:val="333333"/>
        </w:rPr>
        <w:t xml:space="preserve">, </w:t>
      </w:r>
      <w:r w:rsidR="00A015E6" w:rsidRPr="00F744DA">
        <w:rPr>
          <w:rFonts w:eastAsia="Times New Roman" w:cstheme="minorHAnsi"/>
          <w:color w:val="333333"/>
        </w:rPr>
        <w:t xml:space="preserve">a request to continue </w:t>
      </w:r>
      <w:r w:rsidR="00877805">
        <w:rPr>
          <w:rFonts w:eastAsia="Times New Roman" w:cstheme="minorHAnsi"/>
          <w:color w:val="333333"/>
        </w:rPr>
        <w:t>must</w:t>
      </w:r>
      <w:r w:rsidR="00A015E6" w:rsidRPr="00F744DA">
        <w:rPr>
          <w:rFonts w:eastAsia="Times New Roman" w:cstheme="minorHAnsi"/>
          <w:color w:val="333333"/>
        </w:rPr>
        <w:t xml:space="preserve"> be submitted to</w:t>
      </w:r>
      <w:r w:rsidR="00252394" w:rsidRPr="00F744DA">
        <w:rPr>
          <w:rFonts w:eastAsia="Times New Roman" w:cstheme="minorHAnsi"/>
          <w:color w:val="333333"/>
        </w:rPr>
        <w:t xml:space="preserve"> the </w:t>
      </w:r>
      <w:r w:rsidR="00A67D0A" w:rsidRPr="00F744DA">
        <w:rPr>
          <w:rFonts w:eastAsia="Times New Roman" w:cstheme="minorHAnsi"/>
          <w:color w:val="333333"/>
        </w:rPr>
        <w:t>Controller’s</w:t>
      </w:r>
      <w:r w:rsidR="00252394" w:rsidRPr="00F744DA">
        <w:rPr>
          <w:rFonts w:eastAsia="Times New Roman" w:cstheme="minorHAnsi"/>
          <w:color w:val="333333"/>
        </w:rPr>
        <w:t xml:space="preserve"> Office</w:t>
      </w:r>
      <w:r w:rsidR="00A015E6" w:rsidRPr="00F744DA">
        <w:rPr>
          <w:rFonts w:eastAsia="Times New Roman" w:cstheme="minorHAnsi"/>
          <w:color w:val="333333"/>
        </w:rPr>
        <w:t xml:space="preserve"> with a detailed explanation as to why the project was not finished in the allotted time, as well as supplying a new projected </w:t>
      </w:r>
      <w:r w:rsidR="000106A1">
        <w:rPr>
          <w:rFonts w:eastAsia="Times New Roman" w:cstheme="minorHAnsi"/>
          <w:color w:val="333333"/>
        </w:rPr>
        <w:t>completion</w:t>
      </w:r>
      <w:r w:rsidR="00A015E6" w:rsidRPr="00F744DA">
        <w:rPr>
          <w:rFonts w:eastAsia="Times New Roman" w:cstheme="minorHAnsi"/>
          <w:color w:val="333333"/>
        </w:rPr>
        <w:t xml:space="preserve"> date. Fabrications must have a termination date.</w:t>
      </w:r>
    </w:p>
    <w:p w14:paraId="08D0F733" w14:textId="152B31C4" w:rsidR="00317247" w:rsidRPr="002A4C49" w:rsidRDefault="00C76242" w:rsidP="00363B2D">
      <w:pPr>
        <w:pStyle w:val="ListParagraph"/>
        <w:numPr>
          <w:ilvl w:val="0"/>
          <w:numId w:val="4"/>
        </w:numPr>
        <w:shd w:val="clear" w:color="auto" w:fill="FFFFFF"/>
        <w:spacing w:after="120" w:line="240" w:lineRule="auto"/>
        <w:ind w:left="360"/>
        <w:contextualSpacing w:val="0"/>
        <w:rPr>
          <w:rFonts w:eastAsia="Times New Roman" w:cstheme="minorHAnsi"/>
          <w:color w:val="333333"/>
        </w:rPr>
      </w:pPr>
      <w:r w:rsidRPr="002A4C49">
        <w:rPr>
          <w:rFonts w:eastAsia="Times New Roman" w:cstheme="minorHAnsi"/>
          <w:i/>
          <w:color w:val="333333"/>
        </w:rPr>
        <w:t>Betterments</w:t>
      </w:r>
      <w:r w:rsidR="002A4C49" w:rsidRPr="002A4C49">
        <w:rPr>
          <w:rFonts w:eastAsia="Times New Roman" w:cstheme="minorHAnsi"/>
          <w:iCs/>
          <w:color w:val="333333"/>
        </w:rPr>
        <w:t xml:space="preserve">: </w:t>
      </w:r>
      <w:r w:rsidR="00317247" w:rsidRPr="002A4C49">
        <w:rPr>
          <w:rFonts w:eastAsia="Times New Roman" w:cstheme="minorHAnsi"/>
          <w:color w:val="333333"/>
        </w:rPr>
        <w:t xml:space="preserve">A betterment of inventoried equipment is any modification which changes or alters a unit's original function/design and certain major repairs (over $5,000). </w:t>
      </w:r>
      <w:r w:rsidR="00A200F3">
        <w:rPr>
          <w:rFonts w:eastAsia="Times New Roman" w:cstheme="minorHAnsi"/>
          <w:color w:val="333333"/>
        </w:rPr>
        <w:t xml:space="preserve"> </w:t>
      </w:r>
      <w:r w:rsidR="00317247" w:rsidRPr="002A4C49">
        <w:rPr>
          <w:rFonts w:eastAsia="Times New Roman" w:cstheme="minorHAnsi"/>
          <w:color w:val="333333"/>
        </w:rPr>
        <w:t xml:space="preserve">Contact BCN Purchasing to determine if a repair is deemed major. </w:t>
      </w:r>
      <w:r w:rsidR="006C23AD">
        <w:rPr>
          <w:rFonts w:eastAsia="Times New Roman" w:cstheme="minorHAnsi"/>
          <w:color w:val="333333"/>
        </w:rPr>
        <w:t xml:space="preserve"> </w:t>
      </w:r>
      <w:r w:rsidR="00317247" w:rsidRPr="002A4C49">
        <w:rPr>
          <w:rFonts w:eastAsia="Times New Roman" w:cstheme="minorHAnsi"/>
          <w:color w:val="333333"/>
        </w:rPr>
        <w:t xml:space="preserve">The inventory number will remain unchanged with the betterment, but the depreciation schedule and the useful life may need to be adjusted. </w:t>
      </w:r>
      <w:r w:rsidR="00BB5D31">
        <w:rPr>
          <w:rFonts w:eastAsia="Times New Roman" w:cstheme="minorHAnsi"/>
          <w:color w:val="333333"/>
        </w:rPr>
        <w:t xml:space="preserve"> </w:t>
      </w:r>
      <w:r w:rsidR="00317247" w:rsidRPr="002A4C49">
        <w:rPr>
          <w:rFonts w:eastAsia="Times New Roman" w:cstheme="minorHAnsi"/>
          <w:color w:val="333333"/>
        </w:rPr>
        <w:t xml:space="preserve">Adjustments, if necessary, will be coordinated with the institution's Controller's </w:t>
      </w:r>
      <w:r w:rsidR="00BB5D31">
        <w:rPr>
          <w:rFonts w:eastAsia="Times New Roman" w:cstheme="minorHAnsi"/>
          <w:color w:val="333333"/>
        </w:rPr>
        <w:t>O</w:t>
      </w:r>
      <w:r w:rsidR="00317247" w:rsidRPr="002A4C49">
        <w:rPr>
          <w:rFonts w:eastAsia="Times New Roman" w:cstheme="minorHAnsi"/>
          <w:color w:val="333333"/>
        </w:rPr>
        <w:t>ffice.</w:t>
      </w:r>
    </w:p>
    <w:p w14:paraId="68AF22FB" w14:textId="661B1B86" w:rsidR="00A67D0A" w:rsidRPr="001A5C35" w:rsidRDefault="00BC51AE" w:rsidP="001D3817">
      <w:pPr>
        <w:pStyle w:val="ListParagraph"/>
        <w:numPr>
          <w:ilvl w:val="0"/>
          <w:numId w:val="4"/>
        </w:numPr>
        <w:shd w:val="clear" w:color="auto" w:fill="FFFFFF"/>
        <w:spacing w:after="120" w:line="240" w:lineRule="auto"/>
        <w:ind w:left="360"/>
        <w:contextualSpacing w:val="0"/>
        <w:rPr>
          <w:rFonts w:eastAsia="Times New Roman" w:cstheme="minorHAnsi"/>
          <w:color w:val="333333"/>
        </w:rPr>
      </w:pPr>
      <w:r w:rsidRPr="001A5C35">
        <w:rPr>
          <w:rFonts w:eastAsia="Times New Roman" w:cstheme="minorHAnsi"/>
          <w:i/>
          <w:color w:val="333333"/>
        </w:rPr>
        <w:t>Loaning Equipment</w:t>
      </w:r>
      <w:r w:rsidR="00DC02CD" w:rsidRPr="001A5C35">
        <w:rPr>
          <w:rFonts w:eastAsia="Times New Roman" w:cstheme="minorHAnsi"/>
          <w:iCs/>
          <w:color w:val="333333"/>
        </w:rPr>
        <w:t xml:space="preserve">: </w:t>
      </w:r>
      <w:r w:rsidR="00317247" w:rsidRPr="001A5C35">
        <w:rPr>
          <w:rFonts w:eastAsia="Times New Roman" w:cstheme="minorHAnsi"/>
          <w:color w:val="333333"/>
        </w:rPr>
        <w:t>If inventoried equipment is to be loaned to an entity outside NSHE, a written agreement with the other entity, approved by the</w:t>
      </w:r>
      <w:r w:rsidR="006612E2" w:rsidRPr="001A5C35">
        <w:rPr>
          <w:rFonts w:eastAsia="Times New Roman" w:cstheme="minorHAnsi"/>
          <w:color w:val="333333"/>
        </w:rPr>
        <w:t xml:space="preserve"> P</w:t>
      </w:r>
      <w:r w:rsidR="001A5C35" w:rsidRPr="001A5C35">
        <w:rPr>
          <w:rFonts w:eastAsia="Times New Roman" w:cstheme="minorHAnsi"/>
          <w:color w:val="333333"/>
        </w:rPr>
        <w:t>r</w:t>
      </w:r>
      <w:r w:rsidR="00317247" w:rsidRPr="001A5C35">
        <w:rPr>
          <w:rFonts w:eastAsia="Times New Roman" w:cstheme="minorHAnsi"/>
          <w:color w:val="333333"/>
        </w:rPr>
        <w:t xml:space="preserve">esident of the institution, and recorded in </w:t>
      </w:r>
      <w:r w:rsidR="00252394" w:rsidRPr="001A5C35">
        <w:rPr>
          <w:rFonts w:eastAsia="Times New Roman" w:cstheme="minorHAnsi"/>
          <w:color w:val="333333"/>
        </w:rPr>
        <w:t>AssetWorks</w:t>
      </w:r>
      <w:r w:rsidR="00317247" w:rsidRPr="001A5C35">
        <w:rPr>
          <w:rFonts w:eastAsia="Times New Roman" w:cstheme="minorHAnsi"/>
          <w:color w:val="333333"/>
        </w:rPr>
        <w:t xml:space="preserve">, must be completed detailing the terms of the loan and the responsibilities of all parties. </w:t>
      </w:r>
      <w:r w:rsidR="001A5C35" w:rsidRPr="001A5C35">
        <w:rPr>
          <w:rFonts w:eastAsia="Times New Roman" w:cstheme="minorHAnsi"/>
          <w:color w:val="333333"/>
        </w:rPr>
        <w:t xml:space="preserve"> </w:t>
      </w:r>
      <w:r w:rsidR="00A67D0A" w:rsidRPr="001A5C35">
        <w:rPr>
          <w:rFonts w:eastAsia="Times New Roman" w:cstheme="minorHAnsi"/>
          <w:color w:val="333333"/>
        </w:rPr>
        <w:t xml:space="preserve">The change of actual location of any inventoried equipment from its recorded location must be immediately updated in AssetWorks. </w:t>
      </w:r>
    </w:p>
    <w:p w14:paraId="56215F6B" w14:textId="22E02854" w:rsidR="009C6DEA" w:rsidRPr="001070AB" w:rsidRDefault="00BC51AE" w:rsidP="00EE6927">
      <w:pPr>
        <w:pStyle w:val="ListParagraph"/>
        <w:numPr>
          <w:ilvl w:val="0"/>
          <w:numId w:val="4"/>
        </w:numPr>
        <w:shd w:val="clear" w:color="auto" w:fill="FFFFFF"/>
        <w:spacing w:after="120" w:line="240" w:lineRule="auto"/>
        <w:ind w:left="360"/>
        <w:contextualSpacing w:val="0"/>
        <w:rPr>
          <w:rFonts w:eastAsia="Times New Roman" w:cstheme="minorHAnsi"/>
          <w:color w:val="333333"/>
        </w:rPr>
      </w:pPr>
      <w:r w:rsidRPr="001070AB">
        <w:rPr>
          <w:rFonts w:eastAsia="Times New Roman" w:cstheme="minorHAnsi"/>
          <w:i/>
          <w:color w:val="333333"/>
        </w:rPr>
        <w:t>Transferring Equipment</w:t>
      </w:r>
      <w:r w:rsidR="001070AB" w:rsidRPr="001070AB">
        <w:rPr>
          <w:rFonts w:eastAsia="Times New Roman" w:cstheme="minorHAnsi"/>
          <w:iCs/>
          <w:color w:val="333333"/>
        </w:rPr>
        <w:t xml:space="preserve">: </w:t>
      </w:r>
      <w:r w:rsidR="00317247" w:rsidRPr="001070AB">
        <w:rPr>
          <w:rFonts w:eastAsia="Times New Roman" w:cstheme="minorHAnsi"/>
          <w:color w:val="333333"/>
        </w:rPr>
        <w:t>If responsibility for the equipment is being changed between departments</w:t>
      </w:r>
      <w:r w:rsidR="00A67D0A" w:rsidRPr="001070AB">
        <w:rPr>
          <w:rFonts w:eastAsia="Times New Roman" w:cstheme="minorHAnsi"/>
          <w:color w:val="333333"/>
        </w:rPr>
        <w:t xml:space="preserve"> or responsible person,</w:t>
      </w:r>
      <w:r w:rsidR="00317247" w:rsidRPr="001070AB">
        <w:rPr>
          <w:rFonts w:eastAsia="Times New Roman" w:cstheme="minorHAnsi"/>
          <w:color w:val="333333"/>
        </w:rPr>
        <w:t xml:space="preserve"> </w:t>
      </w:r>
      <w:r w:rsidR="00252394" w:rsidRPr="001070AB">
        <w:rPr>
          <w:rFonts w:eastAsia="Times New Roman" w:cstheme="minorHAnsi"/>
          <w:color w:val="333333"/>
        </w:rPr>
        <w:t>the responsible person must</w:t>
      </w:r>
      <w:r w:rsidR="00743298">
        <w:rPr>
          <w:rFonts w:eastAsia="Times New Roman" w:cstheme="minorHAnsi"/>
          <w:color w:val="333333"/>
        </w:rPr>
        <w:t xml:space="preserve"> </w:t>
      </w:r>
      <w:r w:rsidR="00CB41F7">
        <w:rPr>
          <w:rFonts w:eastAsia="Times New Roman" w:cstheme="minorHAnsi"/>
          <w:color w:val="333333"/>
        </w:rPr>
        <w:t>initiate the</w:t>
      </w:r>
      <w:r w:rsidR="00252394" w:rsidRPr="001070AB">
        <w:rPr>
          <w:rFonts w:eastAsia="Times New Roman" w:cstheme="minorHAnsi"/>
          <w:color w:val="333333"/>
        </w:rPr>
        <w:t xml:space="preserve"> transfer </w:t>
      </w:r>
      <w:r w:rsidR="00CB41F7">
        <w:rPr>
          <w:rFonts w:eastAsia="Times New Roman" w:cstheme="minorHAnsi"/>
          <w:color w:val="333333"/>
        </w:rPr>
        <w:t>of</w:t>
      </w:r>
      <w:r w:rsidR="009C6DEA" w:rsidRPr="001070AB">
        <w:rPr>
          <w:rFonts w:eastAsia="Times New Roman" w:cstheme="minorHAnsi"/>
          <w:color w:val="333333"/>
        </w:rPr>
        <w:t xml:space="preserve"> equipment </w:t>
      </w:r>
      <w:r w:rsidR="00252394" w:rsidRPr="001070AB">
        <w:rPr>
          <w:rFonts w:eastAsia="Times New Roman" w:cstheme="minorHAnsi"/>
          <w:color w:val="333333"/>
        </w:rPr>
        <w:t>in AssetWorks</w:t>
      </w:r>
      <w:r w:rsidR="00317247" w:rsidRPr="001070AB">
        <w:rPr>
          <w:rFonts w:eastAsia="Times New Roman" w:cstheme="minorHAnsi"/>
          <w:color w:val="333333"/>
        </w:rPr>
        <w:t xml:space="preserve">. </w:t>
      </w:r>
      <w:r w:rsidR="00743298">
        <w:rPr>
          <w:rFonts w:eastAsia="Times New Roman" w:cstheme="minorHAnsi"/>
          <w:color w:val="333333"/>
        </w:rPr>
        <w:t xml:space="preserve"> </w:t>
      </w:r>
      <w:r w:rsidR="00252394" w:rsidRPr="001070AB">
        <w:rPr>
          <w:rFonts w:eastAsia="Times New Roman" w:cstheme="minorHAnsi"/>
          <w:color w:val="333333"/>
        </w:rPr>
        <w:t xml:space="preserve">The transfer is NOT complete until the receiving person completes the transfer in AssetWorks.  </w:t>
      </w:r>
      <w:r w:rsidR="009C6DEA" w:rsidRPr="001070AB">
        <w:rPr>
          <w:rFonts w:eastAsia="Times New Roman" w:cstheme="minorHAnsi"/>
          <w:color w:val="333333"/>
        </w:rPr>
        <w:t xml:space="preserve">The </w:t>
      </w:r>
      <w:r w:rsidR="00CB41F7">
        <w:rPr>
          <w:rFonts w:eastAsia="Times New Roman" w:cstheme="minorHAnsi"/>
          <w:color w:val="333333"/>
        </w:rPr>
        <w:t>new</w:t>
      </w:r>
      <w:r w:rsidR="009C6DEA" w:rsidRPr="001070AB">
        <w:rPr>
          <w:rFonts w:eastAsia="Times New Roman" w:cstheme="minorHAnsi"/>
          <w:color w:val="333333"/>
        </w:rPr>
        <w:t xml:space="preserve"> responsible person must update the Cost Center, Unit, Fund and Function to include additional </w:t>
      </w:r>
      <w:r w:rsidR="00584891">
        <w:rPr>
          <w:rFonts w:eastAsia="Times New Roman" w:cstheme="minorHAnsi"/>
          <w:color w:val="333333"/>
        </w:rPr>
        <w:t>W</w:t>
      </w:r>
      <w:r w:rsidR="009C6DEA" w:rsidRPr="001070AB">
        <w:rPr>
          <w:rFonts w:eastAsia="Times New Roman" w:cstheme="minorHAnsi"/>
          <w:color w:val="333333"/>
        </w:rPr>
        <w:t>orktag (program)</w:t>
      </w:r>
      <w:r w:rsidR="00A67D0A" w:rsidRPr="001070AB">
        <w:rPr>
          <w:rFonts w:eastAsia="Times New Roman" w:cstheme="minorHAnsi"/>
          <w:color w:val="333333"/>
        </w:rPr>
        <w:t xml:space="preserve"> and location if applicable. </w:t>
      </w:r>
    </w:p>
    <w:p w14:paraId="6546293B" w14:textId="31EF0B83" w:rsidR="00317247" w:rsidRPr="00173FBF" w:rsidRDefault="00BC51AE" w:rsidP="00B33587">
      <w:pPr>
        <w:pStyle w:val="ListParagraph"/>
        <w:numPr>
          <w:ilvl w:val="0"/>
          <w:numId w:val="4"/>
        </w:numPr>
        <w:shd w:val="clear" w:color="auto" w:fill="FFFFFF"/>
        <w:spacing w:after="120" w:line="240" w:lineRule="auto"/>
        <w:ind w:left="360"/>
        <w:contextualSpacing w:val="0"/>
        <w:rPr>
          <w:rFonts w:eastAsia="Times New Roman" w:cstheme="minorHAnsi"/>
          <w:color w:val="333333"/>
        </w:rPr>
      </w:pPr>
      <w:r w:rsidRPr="00173FBF">
        <w:rPr>
          <w:rFonts w:eastAsia="Times New Roman" w:cstheme="minorHAnsi"/>
          <w:i/>
          <w:color w:val="333333"/>
        </w:rPr>
        <w:t>Stolen Equipment</w:t>
      </w:r>
      <w:r w:rsidR="00173FBF" w:rsidRPr="00173FBF">
        <w:rPr>
          <w:rFonts w:eastAsia="Times New Roman" w:cstheme="minorHAnsi"/>
          <w:iCs/>
          <w:color w:val="333333"/>
        </w:rPr>
        <w:t xml:space="preserve">: </w:t>
      </w:r>
      <w:r w:rsidR="00317247" w:rsidRPr="00173FBF">
        <w:rPr>
          <w:rFonts w:eastAsia="Times New Roman" w:cstheme="minorHAnsi"/>
          <w:color w:val="333333"/>
        </w:rPr>
        <w:t>If equipment is found to be</w:t>
      </w:r>
      <w:r w:rsidR="00252394" w:rsidRPr="00173FBF">
        <w:rPr>
          <w:rFonts w:eastAsia="Times New Roman" w:cstheme="minorHAnsi"/>
          <w:color w:val="333333"/>
        </w:rPr>
        <w:t xml:space="preserve"> </w:t>
      </w:r>
      <w:r w:rsidR="00317247" w:rsidRPr="00173FBF">
        <w:rPr>
          <w:rFonts w:eastAsia="Times New Roman" w:cstheme="minorHAnsi"/>
          <w:color w:val="333333"/>
        </w:rPr>
        <w:t xml:space="preserve">stolen, a police report is to be initiated immediately, and if the equipment was inventoried, the </w:t>
      </w:r>
      <w:r w:rsidR="00173FBF">
        <w:rPr>
          <w:rFonts w:eastAsia="Times New Roman" w:cstheme="minorHAnsi"/>
          <w:color w:val="333333"/>
        </w:rPr>
        <w:t>Asset Management unit</w:t>
      </w:r>
      <w:r w:rsidR="00356926">
        <w:rPr>
          <w:rFonts w:eastAsia="Times New Roman" w:cstheme="minorHAnsi"/>
          <w:color w:val="333333"/>
        </w:rPr>
        <w:t xml:space="preserve"> </w:t>
      </w:r>
      <w:r w:rsidR="00317247" w:rsidRPr="00173FBF">
        <w:rPr>
          <w:rFonts w:eastAsia="Times New Roman" w:cstheme="minorHAnsi"/>
          <w:color w:val="333333"/>
        </w:rPr>
        <w:t>must be notified.</w:t>
      </w:r>
    </w:p>
    <w:p w14:paraId="1611D9A2" w14:textId="2171FF7C" w:rsidR="00A94EBF" w:rsidRPr="00356926" w:rsidRDefault="00BC51AE" w:rsidP="00192915">
      <w:pPr>
        <w:pStyle w:val="ListParagraph"/>
        <w:numPr>
          <w:ilvl w:val="0"/>
          <w:numId w:val="4"/>
        </w:numPr>
        <w:shd w:val="clear" w:color="auto" w:fill="FFFFFF"/>
        <w:spacing w:after="120" w:line="240" w:lineRule="auto"/>
        <w:ind w:left="360"/>
        <w:contextualSpacing w:val="0"/>
        <w:rPr>
          <w:rFonts w:eastAsia="Times New Roman" w:cstheme="minorHAnsi"/>
          <w:color w:val="333333"/>
        </w:rPr>
      </w:pPr>
      <w:r w:rsidRPr="00356926">
        <w:rPr>
          <w:rFonts w:eastAsia="Times New Roman" w:cstheme="minorHAnsi"/>
          <w:i/>
          <w:color w:val="333333"/>
        </w:rPr>
        <w:lastRenderedPageBreak/>
        <w:t>Surplus</w:t>
      </w:r>
      <w:r w:rsidR="00356926" w:rsidRPr="00356926">
        <w:rPr>
          <w:rFonts w:eastAsia="Times New Roman" w:cstheme="minorHAnsi"/>
          <w:iCs/>
          <w:color w:val="333333"/>
        </w:rPr>
        <w:t xml:space="preserve">: </w:t>
      </w:r>
      <w:r w:rsidR="00317247" w:rsidRPr="00356926">
        <w:rPr>
          <w:rFonts w:eastAsia="Times New Roman" w:cstheme="minorHAnsi"/>
          <w:color w:val="333333"/>
        </w:rPr>
        <w:t xml:space="preserve">Disposal of NSHE property </w:t>
      </w:r>
      <w:r w:rsidR="00805022">
        <w:rPr>
          <w:rFonts w:eastAsia="Times New Roman" w:cstheme="minorHAnsi"/>
          <w:color w:val="333333"/>
        </w:rPr>
        <w:t>is</w:t>
      </w:r>
      <w:r w:rsidR="00317247" w:rsidRPr="00356926">
        <w:rPr>
          <w:rFonts w:eastAsia="Times New Roman" w:cstheme="minorHAnsi"/>
          <w:color w:val="333333"/>
        </w:rPr>
        <w:t xml:space="preserve"> coordinated through </w:t>
      </w:r>
      <w:r w:rsidR="006B3CEF" w:rsidRPr="00356926">
        <w:rPr>
          <w:rFonts w:eastAsia="Times New Roman" w:cstheme="minorHAnsi"/>
          <w:color w:val="333333"/>
        </w:rPr>
        <w:t>Surplus</w:t>
      </w:r>
      <w:r w:rsidR="00517987">
        <w:rPr>
          <w:rFonts w:eastAsia="Times New Roman" w:cstheme="minorHAnsi"/>
          <w:color w:val="333333"/>
        </w:rPr>
        <w:t xml:space="preserve">, </w:t>
      </w:r>
      <w:r w:rsidR="002E7AA9" w:rsidRPr="002E7AA9">
        <w:rPr>
          <w:rFonts w:eastAsia="Times New Roman" w:cstheme="minorHAnsi"/>
          <w:color w:val="333333"/>
        </w:rPr>
        <w:t>a unit within Business Center North (BCN) Purchasing</w:t>
      </w:r>
      <w:r w:rsidR="00317247" w:rsidRPr="00356926">
        <w:rPr>
          <w:rFonts w:eastAsia="Times New Roman" w:cstheme="minorHAnsi"/>
          <w:color w:val="333333"/>
        </w:rPr>
        <w:t xml:space="preserve">. </w:t>
      </w:r>
      <w:r w:rsidR="00252394" w:rsidRPr="00356926">
        <w:rPr>
          <w:rFonts w:eastAsia="Times New Roman" w:cstheme="minorHAnsi"/>
          <w:color w:val="333333"/>
        </w:rPr>
        <w:t xml:space="preserve"> A</w:t>
      </w:r>
      <w:r w:rsidR="00506437">
        <w:rPr>
          <w:rFonts w:eastAsia="Times New Roman" w:cstheme="minorHAnsi"/>
          <w:color w:val="333333"/>
        </w:rPr>
        <w:t>ll</w:t>
      </w:r>
      <w:r w:rsidR="00252394" w:rsidRPr="00356926">
        <w:rPr>
          <w:rFonts w:eastAsia="Times New Roman" w:cstheme="minorHAnsi"/>
          <w:color w:val="333333"/>
        </w:rPr>
        <w:t xml:space="preserve"> transfer</w:t>
      </w:r>
      <w:r w:rsidR="00506437">
        <w:rPr>
          <w:rFonts w:eastAsia="Times New Roman" w:cstheme="minorHAnsi"/>
          <w:color w:val="333333"/>
        </w:rPr>
        <w:t xml:space="preserve">s </w:t>
      </w:r>
      <w:r w:rsidR="00252394" w:rsidRPr="00356926">
        <w:rPr>
          <w:rFonts w:eastAsia="Times New Roman" w:cstheme="minorHAnsi"/>
          <w:color w:val="333333"/>
        </w:rPr>
        <w:t xml:space="preserve">to Surplus must be completed in AssetWorks. </w:t>
      </w:r>
      <w:r w:rsidR="001D6925">
        <w:rPr>
          <w:rFonts w:eastAsia="Times New Roman" w:cstheme="minorHAnsi"/>
          <w:color w:val="333333"/>
        </w:rPr>
        <w:t xml:space="preserve"> </w:t>
      </w:r>
      <w:r w:rsidR="00252394" w:rsidRPr="00356926">
        <w:rPr>
          <w:rFonts w:eastAsia="Times New Roman" w:cstheme="minorHAnsi"/>
          <w:color w:val="333333"/>
        </w:rPr>
        <w:t xml:space="preserve">Surplus </w:t>
      </w:r>
      <w:r w:rsidR="00317247" w:rsidRPr="00356926">
        <w:rPr>
          <w:rFonts w:eastAsia="Times New Roman" w:cstheme="minorHAnsi"/>
          <w:color w:val="333333"/>
        </w:rPr>
        <w:t xml:space="preserve">will decide on a course of action based on age, condition, usefulness to other departments, disposal or salvage value, and costs to remove the property. If the property is deemed to be worthless or a safety hazard, </w:t>
      </w:r>
      <w:r w:rsidR="00252394" w:rsidRPr="00356926">
        <w:rPr>
          <w:rFonts w:eastAsia="Times New Roman" w:cstheme="minorHAnsi"/>
          <w:color w:val="333333"/>
        </w:rPr>
        <w:t>Surplus</w:t>
      </w:r>
      <w:r w:rsidR="00317247" w:rsidRPr="00356926">
        <w:rPr>
          <w:rFonts w:eastAsia="Times New Roman" w:cstheme="minorHAnsi"/>
          <w:color w:val="333333"/>
        </w:rPr>
        <w:t xml:space="preserve"> will coordinate its disposal as refuse. Equipment and furniture disposed of by one department but deemed to have some useful life will first be made available to other departments. NSHE departments may avail themselves of this merchandise without cost</w:t>
      </w:r>
      <w:r w:rsidR="00252394" w:rsidRPr="00356926">
        <w:rPr>
          <w:rFonts w:eastAsia="Times New Roman" w:cstheme="minorHAnsi"/>
          <w:color w:val="333333"/>
        </w:rPr>
        <w:t>.</w:t>
      </w:r>
      <w:r w:rsidR="00317247" w:rsidRPr="00356926">
        <w:rPr>
          <w:rFonts w:eastAsia="Times New Roman" w:cstheme="minorHAnsi"/>
          <w:color w:val="333333"/>
        </w:rPr>
        <w:t xml:space="preserve"> Merchandise not claimed by NSHE departments beyond thirty (30) days, and items deemed to be unacceptable for re-use within the System, will be disposed of through </w:t>
      </w:r>
      <w:r w:rsidR="006B3CEF" w:rsidRPr="00356926">
        <w:rPr>
          <w:rFonts w:eastAsia="Times New Roman" w:cstheme="minorHAnsi"/>
          <w:color w:val="333333"/>
        </w:rPr>
        <w:t>on-line</w:t>
      </w:r>
      <w:r w:rsidR="00252394" w:rsidRPr="00356926">
        <w:rPr>
          <w:rFonts w:eastAsia="Times New Roman" w:cstheme="minorHAnsi"/>
          <w:color w:val="333333"/>
        </w:rPr>
        <w:t xml:space="preserve"> sale,</w:t>
      </w:r>
      <w:r w:rsidR="006B3CEF" w:rsidRPr="00356926">
        <w:rPr>
          <w:rFonts w:eastAsia="Times New Roman" w:cstheme="minorHAnsi"/>
          <w:color w:val="333333"/>
        </w:rPr>
        <w:t xml:space="preserve"> </w:t>
      </w:r>
      <w:r w:rsidR="00317247" w:rsidRPr="00356926">
        <w:rPr>
          <w:rFonts w:eastAsia="Times New Roman" w:cstheme="minorHAnsi"/>
          <w:color w:val="333333"/>
        </w:rPr>
        <w:t>public sale, sale to surplus or salvage dealers, or disposal through donation or refuse.</w:t>
      </w:r>
      <w:r w:rsidR="00A94EBF" w:rsidRPr="00356926">
        <w:rPr>
          <w:rFonts w:eastAsia="Times New Roman" w:cstheme="minorHAnsi"/>
          <w:color w:val="333333"/>
        </w:rPr>
        <w:t xml:space="preserve">  See Surplus Policy and Procedure</w:t>
      </w:r>
      <w:r w:rsidR="00143BF0">
        <w:rPr>
          <w:rFonts w:eastAsia="Times New Roman" w:cstheme="minorHAnsi"/>
          <w:color w:val="333333"/>
        </w:rPr>
        <w:t>s</w:t>
      </w:r>
      <w:r w:rsidR="00A94EBF" w:rsidRPr="00356926">
        <w:rPr>
          <w:rFonts w:eastAsia="Times New Roman" w:cstheme="minorHAnsi"/>
          <w:color w:val="333333"/>
        </w:rPr>
        <w:t>.</w:t>
      </w:r>
    </w:p>
    <w:sectPr w:rsidR="00A94EBF" w:rsidRPr="00356926" w:rsidSect="00F24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lowerLetter"/>
      <w:lvlText w:val="%1."/>
      <w:lvlJc w:val="left"/>
      <w:pPr>
        <w:ind w:left="540" w:hanging="360"/>
      </w:pPr>
      <w:rPr>
        <w:rFonts w:ascii="Arial" w:hAnsi="Arial" w:cs="Arial"/>
        <w:b w:val="0"/>
        <w:bCs w:val="0"/>
        <w:spacing w:val="-1"/>
        <w:sz w:val="22"/>
        <w:szCs w:val="22"/>
      </w:rPr>
    </w:lvl>
    <w:lvl w:ilvl="1">
      <w:numFmt w:val="bullet"/>
      <w:lvlText w:val="•"/>
      <w:lvlJc w:val="left"/>
      <w:pPr>
        <w:ind w:left="1412" w:hanging="360"/>
      </w:pPr>
    </w:lvl>
    <w:lvl w:ilvl="2">
      <w:numFmt w:val="bullet"/>
      <w:lvlText w:val="•"/>
      <w:lvlJc w:val="left"/>
      <w:pPr>
        <w:ind w:left="2284" w:hanging="360"/>
      </w:pPr>
    </w:lvl>
    <w:lvl w:ilvl="3">
      <w:numFmt w:val="bullet"/>
      <w:lvlText w:val="•"/>
      <w:lvlJc w:val="left"/>
      <w:pPr>
        <w:ind w:left="3156" w:hanging="360"/>
      </w:pPr>
    </w:lvl>
    <w:lvl w:ilvl="4">
      <w:numFmt w:val="bullet"/>
      <w:lvlText w:val="•"/>
      <w:lvlJc w:val="left"/>
      <w:pPr>
        <w:ind w:left="4028" w:hanging="360"/>
      </w:pPr>
    </w:lvl>
    <w:lvl w:ilvl="5">
      <w:numFmt w:val="bullet"/>
      <w:lvlText w:val="•"/>
      <w:lvlJc w:val="left"/>
      <w:pPr>
        <w:ind w:left="4900" w:hanging="360"/>
      </w:pPr>
    </w:lvl>
    <w:lvl w:ilvl="6">
      <w:numFmt w:val="bullet"/>
      <w:lvlText w:val="•"/>
      <w:lvlJc w:val="left"/>
      <w:pPr>
        <w:ind w:left="5772" w:hanging="360"/>
      </w:pPr>
    </w:lvl>
    <w:lvl w:ilvl="7">
      <w:numFmt w:val="bullet"/>
      <w:lvlText w:val="•"/>
      <w:lvlJc w:val="left"/>
      <w:pPr>
        <w:ind w:left="6644" w:hanging="360"/>
      </w:pPr>
    </w:lvl>
    <w:lvl w:ilvl="8">
      <w:numFmt w:val="bullet"/>
      <w:lvlText w:val="•"/>
      <w:lvlJc w:val="left"/>
      <w:pPr>
        <w:ind w:left="7516" w:hanging="360"/>
      </w:pPr>
    </w:lvl>
  </w:abstractNum>
  <w:abstractNum w:abstractNumId="1" w15:restartNumberingAfterBreak="0">
    <w:nsid w:val="02A24156"/>
    <w:multiLevelType w:val="hybridMultilevel"/>
    <w:tmpl w:val="0D666B18"/>
    <w:lvl w:ilvl="0" w:tplc="E794B470">
      <w:start w:val="1"/>
      <w:numFmt w:val="upperLetter"/>
      <w:lvlText w:val="%1."/>
      <w:lvlJc w:val="left"/>
      <w:pPr>
        <w:ind w:left="45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87B9D"/>
    <w:multiLevelType w:val="hybridMultilevel"/>
    <w:tmpl w:val="7E0C16AA"/>
    <w:lvl w:ilvl="0" w:tplc="58843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E3ADE"/>
    <w:multiLevelType w:val="hybridMultilevel"/>
    <w:tmpl w:val="13B2E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261224"/>
    <w:multiLevelType w:val="hybridMultilevel"/>
    <w:tmpl w:val="05E8D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C0311"/>
    <w:multiLevelType w:val="multilevel"/>
    <w:tmpl w:val="992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9A016C"/>
    <w:multiLevelType w:val="hybridMultilevel"/>
    <w:tmpl w:val="9A88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543D5"/>
    <w:multiLevelType w:val="hybridMultilevel"/>
    <w:tmpl w:val="DC345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47"/>
    <w:rsid w:val="000013B5"/>
    <w:rsid w:val="00005B4A"/>
    <w:rsid w:val="00005F78"/>
    <w:rsid w:val="00006EF7"/>
    <w:rsid w:val="000106A1"/>
    <w:rsid w:val="00014B6A"/>
    <w:rsid w:val="000410A5"/>
    <w:rsid w:val="0004169C"/>
    <w:rsid w:val="00055C16"/>
    <w:rsid w:val="000E4491"/>
    <w:rsid w:val="000E7B34"/>
    <w:rsid w:val="001070AB"/>
    <w:rsid w:val="00143BF0"/>
    <w:rsid w:val="00150F09"/>
    <w:rsid w:val="001613F3"/>
    <w:rsid w:val="00173FBF"/>
    <w:rsid w:val="00187600"/>
    <w:rsid w:val="001A5C35"/>
    <w:rsid w:val="001D6925"/>
    <w:rsid w:val="001E40D0"/>
    <w:rsid w:val="00207234"/>
    <w:rsid w:val="00234D9E"/>
    <w:rsid w:val="00237949"/>
    <w:rsid w:val="00251C97"/>
    <w:rsid w:val="00252394"/>
    <w:rsid w:val="00256036"/>
    <w:rsid w:val="002A2FD7"/>
    <w:rsid w:val="002A4C49"/>
    <w:rsid w:val="002B7A85"/>
    <w:rsid w:val="002E7AA9"/>
    <w:rsid w:val="002F6CCC"/>
    <w:rsid w:val="00302002"/>
    <w:rsid w:val="00317247"/>
    <w:rsid w:val="00356926"/>
    <w:rsid w:val="00360902"/>
    <w:rsid w:val="00363B34"/>
    <w:rsid w:val="003D1EA1"/>
    <w:rsid w:val="003D749A"/>
    <w:rsid w:val="003F06E8"/>
    <w:rsid w:val="00454B93"/>
    <w:rsid w:val="00460AA8"/>
    <w:rsid w:val="0048232C"/>
    <w:rsid w:val="004D73C0"/>
    <w:rsid w:val="00506437"/>
    <w:rsid w:val="00515282"/>
    <w:rsid w:val="00517987"/>
    <w:rsid w:val="00523E0B"/>
    <w:rsid w:val="005614E8"/>
    <w:rsid w:val="00562E24"/>
    <w:rsid w:val="00564E12"/>
    <w:rsid w:val="00565CAB"/>
    <w:rsid w:val="00584891"/>
    <w:rsid w:val="005C057C"/>
    <w:rsid w:val="006227FB"/>
    <w:rsid w:val="0064573F"/>
    <w:rsid w:val="0065371C"/>
    <w:rsid w:val="006612E2"/>
    <w:rsid w:val="006809D9"/>
    <w:rsid w:val="006B3CEF"/>
    <w:rsid w:val="006B7DBD"/>
    <w:rsid w:val="006C23AD"/>
    <w:rsid w:val="006C384B"/>
    <w:rsid w:val="006C4039"/>
    <w:rsid w:val="00701744"/>
    <w:rsid w:val="0070397F"/>
    <w:rsid w:val="00743298"/>
    <w:rsid w:val="00773466"/>
    <w:rsid w:val="0079415A"/>
    <w:rsid w:val="00796AD5"/>
    <w:rsid w:val="007B35C9"/>
    <w:rsid w:val="007D018A"/>
    <w:rsid w:val="007D1605"/>
    <w:rsid w:val="007D723C"/>
    <w:rsid w:val="007E1C6B"/>
    <w:rsid w:val="00805022"/>
    <w:rsid w:val="00824B4A"/>
    <w:rsid w:val="00837700"/>
    <w:rsid w:val="00857351"/>
    <w:rsid w:val="00866B4D"/>
    <w:rsid w:val="00877805"/>
    <w:rsid w:val="00885E0A"/>
    <w:rsid w:val="008E5A79"/>
    <w:rsid w:val="00922255"/>
    <w:rsid w:val="009724B4"/>
    <w:rsid w:val="009A1070"/>
    <w:rsid w:val="009A41F7"/>
    <w:rsid w:val="009B3222"/>
    <w:rsid w:val="009C6DEA"/>
    <w:rsid w:val="009D1D07"/>
    <w:rsid w:val="009E551C"/>
    <w:rsid w:val="00A0123A"/>
    <w:rsid w:val="00A015E6"/>
    <w:rsid w:val="00A02DB2"/>
    <w:rsid w:val="00A200F3"/>
    <w:rsid w:val="00A61246"/>
    <w:rsid w:val="00A61339"/>
    <w:rsid w:val="00A67D0A"/>
    <w:rsid w:val="00A70404"/>
    <w:rsid w:val="00A94EBF"/>
    <w:rsid w:val="00AB3DD0"/>
    <w:rsid w:val="00B27796"/>
    <w:rsid w:val="00B817E8"/>
    <w:rsid w:val="00BA63CD"/>
    <w:rsid w:val="00BB5D31"/>
    <w:rsid w:val="00BC0E01"/>
    <w:rsid w:val="00BC46E4"/>
    <w:rsid w:val="00BC51AE"/>
    <w:rsid w:val="00BD548A"/>
    <w:rsid w:val="00BE5B24"/>
    <w:rsid w:val="00BE6B34"/>
    <w:rsid w:val="00C35C8F"/>
    <w:rsid w:val="00C76242"/>
    <w:rsid w:val="00C77D89"/>
    <w:rsid w:val="00C95341"/>
    <w:rsid w:val="00CA0BEF"/>
    <w:rsid w:val="00CB41F7"/>
    <w:rsid w:val="00CB79CC"/>
    <w:rsid w:val="00CC7D2C"/>
    <w:rsid w:val="00CE3EFD"/>
    <w:rsid w:val="00CF48F2"/>
    <w:rsid w:val="00D061CB"/>
    <w:rsid w:val="00D35803"/>
    <w:rsid w:val="00D36FD2"/>
    <w:rsid w:val="00D50AC6"/>
    <w:rsid w:val="00D60C77"/>
    <w:rsid w:val="00D87F93"/>
    <w:rsid w:val="00DA184D"/>
    <w:rsid w:val="00DB1DFE"/>
    <w:rsid w:val="00DC02CD"/>
    <w:rsid w:val="00DC1EAB"/>
    <w:rsid w:val="00E248F4"/>
    <w:rsid w:val="00E24E4C"/>
    <w:rsid w:val="00EB00C9"/>
    <w:rsid w:val="00EF3E32"/>
    <w:rsid w:val="00F240D3"/>
    <w:rsid w:val="00F63857"/>
    <w:rsid w:val="00F744DA"/>
    <w:rsid w:val="00F77A8A"/>
    <w:rsid w:val="00FE1B03"/>
    <w:rsid w:val="00FF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8BAB"/>
  <w15:docId w15:val="{83B8303D-E5A7-4528-961E-B8FA9A79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AC6"/>
    <w:pPr>
      <w:ind w:left="720"/>
      <w:contextualSpacing/>
    </w:pPr>
  </w:style>
  <w:style w:type="paragraph" w:styleId="BalloonText">
    <w:name w:val="Balloon Text"/>
    <w:basedOn w:val="Normal"/>
    <w:link w:val="BalloonTextChar"/>
    <w:uiPriority w:val="99"/>
    <w:semiHidden/>
    <w:unhideWhenUsed/>
    <w:rsid w:val="0052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82325">
      <w:bodyDiv w:val="1"/>
      <w:marLeft w:val="0"/>
      <w:marRight w:val="0"/>
      <w:marTop w:val="0"/>
      <w:marBottom w:val="0"/>
      <w:divBdr>
        <w:top w:val="none" w:sz="0" w:space="0" w:color="auto"/>
        <w:left w:val="none" w:sz="0" w:space="0" w:color="auto"/>
        <w:bottom w:val="none" w:sz="0" w:space="0" w:color="auto"/>
        <w:right w:val="none" w:sz="0" w:space="0" w:color="auto"/>
      </w:divBdr>
      <w:divsChild>
        <w:div w:id="619532040">
          <w:marLeft w:val="0"/>
          <w:marRight w:val="3525"/>
          <w:marTop w:val="0"/>
          <w:marBottom w:val="0"/>
          <w:divBdr>
            <w:top w:val="none" w:sz="0" w:space="0" w:color="auto"/>
            <w:left w:val="none" w:sz="0" w:space="0" w:color="auto"/>
            <w:bottom w:val="none" w:sz="0" w:space="0" w:color="auto"/>
            <w:right w:val="none" w:sz="0" w:space="0" w:color="auto"/>
          </w:divBdr>
          <w:divsChild>
            <w:div w:id="21458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36C13DBFBCC4982D844AA2210B717" ma:contentTypeVersion="13" ma:contentTypeDescription="Create a new document." ma:contentTypeScope="" ma:versionID="4a653203817fe344447f3229fbbe20ef">
  <xsd:schema xmlns:xsd="http://www.w3.org/2001/XMLSchema" xmlns:xs="http://www.w3.org/2001/XMLSchema" xmlns:p="http://schemas.microsoft.com/office/2006/metadata/properties" xmlns:ns3="749990a4-182d-4887-938c-c6f7da3c61d6" xmlns:ns4="6ad8074b-b18c-4876-bcaf-2a83701af8aa" targetNamespace="http://schemas.microsoft.com/office/2006/metadata/properties" ma:root="true" ma:fieldsID="495369def3299591b59a5af1a6684767" ns3:_="" ns4:_="">
    <xsd:import namespace="749990a4-182d-4887-938c-c6f7da3c61d6"/>
    <xsd:import namespace="6ad8074b-b18c-4876-bcaf-2a83701af8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990a4-182d-4887-938c-c6f7da3c61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8074b-b18c-4876-bcaf-2a83701af8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EBE21-18B4-4FF0-8B1F-A93C382A7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990a4-182d-4887-938c-c6f7da3c61d6"/>
    <ds:schemaRef ds:uri="6ad8074b-b18c-4876-bcaf-2a83701af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14596-F788-4385-93E2-D21DEE8A27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62F04-7BCB-4580-97A8-8F8BF8B58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Gillenwater</dc:creator>
  <cp:lastModifiedBy>Laura Shimko</cp:lastModifiedBy>
  <cp:revision>2</cp:revision>
  <dcterms:created xsi:type="dcterms:W3CDTF">2021-10-11T16:09:00Z</dcterms:created>
  <dcterms:modified xsi:type="dcterms:W3CDTF">2021-10-11T16:09:00Z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0x010100F9636C13DBFBCC4982D844AA2210B717</vt:lpwstr>
  </property>
</Properties>
</file>